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B5CCE">
      <w:pPr>
        <w:spacing w:line="360" w:lineRule="auto"/>
        <w:jc w:val="center"/>
        <w:rPr>
          <w:rFonts w:hint="eastAsia" w:ascii="华文中宋" w:hAnsi="华文中宋" w:eastAsia="华文中宋"/>
          <w:sz w:val="40"/>
          <w:szCs w:val="36"/>
        </w:rPr>
      </w:pPr>
      <w:bookmarkStart w:id="0" w:name="CurrentPosition"/>
      <w:bookmarkEnd w:id="0"/>
      <w:r>
        <w:rPr>
          <w:rFonts w:hint="eastAsia" w:ascii="华文中宋" w:hAnsi="华文中宋" w:eastAsia="华文中宋"/>
          <w:sz w:val="40"/>
          <w:szCs w:val="36"/>
        </w:rPr>
        <w:t xml:space="preserve">  </w:t>
      </w:r>
    </w:p>
    <w:p w14:paraId="20CC6DE6">
      <w:pPr>
        <w:spacing w:line="360" w:lineRule="auto"/>
        <w:jc w:val="center"/>
        <w:rPr>
          <w:rFonts w:hint="eastAsia" w:ascii="华文中宋" w:hAnsi="华文中宋" w:eastAsia="华文中宋"/>
          <w:sz w:val="40"/>
          <w:szCs w:val="36"/>
        </w:rPr>
      </w:pPr>
    </w:p>
    <w:p w14:paraId="51BD1CBB">
      <w:pPr>
        <w:spacing w:line="360" w:lineRule="auto"/>
        <w:jc w:val="center"/>
        <w:rPr>
          <w:rFonts w:hint="eastAsia" w:ascii="华文中宋" w:hAnsi="华文中宋" w:eastAsia="华文中宋"/>
          <w:sz w:val="40"/>
          <w:szCs w:val="36"/>
        </w:rPr>
      </w:pPr>
      <w:r>
        <w:rPr>
          <w:rFonts w:hint="eastAsia" w:ascii="华文中宋" w:hAnsi="华文中宋" w:eastAsia="华文中宋"/>
          <w:sz w:val="40"/>
          <w:szCs w:val="36"/>
        </w:rPr>
        <w:t>广州工控大湾区现代高端装备研发生产基地项目（三期）办公家具采购项目</w:t>
      </w:r>
    </w:p>
    <w:p w14:paraId="045B549A">
      <w:pPr>
        <w:spacing w:line="780" w:lineRule="exact"/>
        <w:jc w:val="center"/>
        <w:rPr>
          <w:rFonts w:hint="eastAsia" w:ascii="华文新魏" w:hAnsi="黑体" w:eastAsia="华文新魏"/>
          <w:b/>
          <w:spacing w:val="20"/>
          <w:kern w:val="10"/>
          <w:sz w:val="56"/>
          <w:szCs w:val="72"/>
        </w:rPr>
      </w:pPr>
    </w:p>
    <w:p w14:paraId="6AD4C261">
      <w:pPr>
        <w:spacing w:line="780" w:lineRule="exact"/>
        <w:jc w:val="center"/>
        <w:rPr>
          <w:rFonts w:hint="eastAsia" w:ascii="华文中宋" w:hAnsi="华文中宋" w:eastAsia="华文中宋"/>
          <w:b/>
          <w:spacing w:val="20"/>
          <w:kern w:val="10"/>
          <w:sz w:val="72"/>
          <w:szCs w:val="96"/>
        </w:rPr>
      </w:pPr>
      <w:r>
        <w:rPr>
          <w:rFonts w:hint="eastAsia" w:ascii="华文中宋" w:hAnsi="华文中宋" w:eastAsia="华文中宋"/>
          <w:b/>
          <w:spacing w:val="20"/>
          <w:kern w:val="10"/>
          <w:sz w:val="72"/>
          <w:szCs w:val="96"/>
        </w:rPr>
        <w:t>招标文件</w:t>
      </w:r>
    </w:p>
    <w:p w14:paraId="3260DA36">
      <w:pPr>
        <w:spacing w:line="780" w:lineRule="exact"/>
        <w:jc w:val="center"/>
        <w:rPr>
          <w:rFonts w:hint="eastAsia" w:ascii="华文新魏" w:hAnsi="黑体" w:eastAsia="华文新魏"/>
          <w:b/>
          <w:spacing w:val="20"/>
          <w:kern w:val="10"/>
          <w:sz w:val="56"/>
          <w:szCs w:val="72"/>
        </w:rPr>
      </w:pPr>
    </w:p>
    <w:p w14:paraId="0648F20A">
      <w:pPr>
        <w:spacing w:line="780" w:lineRule="exact"/>
        <w:jc w:val="center"/>
        <w:rPr>
          <w:rFonts w:hint="eastAsia" w:ascii="华文新魏" w:hAnsi="黑体" w:eastAsia="华文新魏"/>
          <w:b/>
          <w:spacing w:val="20"/>
          <w:kern w:val="10"/>
          <w:sz w:val="56"/>
          <w:szCs w:val="72"/>
        </w:rPr>
      </w:pPr>
    </w:p>
    <w:p w14:paraId="713DF4D1">
      <w:pPr>
        <w:spacing w:line="780" w:lineRule="exact"/>
        <w:jc w:val="center"/>
        <w:rPr>
          <w:rFonts w:hint="eastAsia" w:ascii="华文新魏" w:hAnsi="黑体" w:eastAsia="华文新魏"/>
          <w:b/>
          <w:spacing w:val="20"/>
          <w:kern w:val="10"/>
          <w:sz w:val="56"/>
          <w:szCs w:val="72"/>
        </w:rPr>
      </w:pPr>
    </w:p>
    <w:p w14:paraId="75DA2B68">
      <w:pPr>
        <w:spacing w:line="780" w:lineRule="exact"/>
        <w:jc w:val="center"/>
        <w:rPr>
          <w:rFonts w:hint="eastAsia" w:ascii="华文新魏" w:hAnsi="黑体" w:eastAsia="华文新魏"/>
          <w:b/>
          <w:spacing w:val="20"/>
          <w:kern w:val="10"/>
          <w:sz w:val="56"/>
          <w:szCs w:val="72"/>
        </w:rPr>
      </w:pPr>
    </w:p>
    <w:p w14:paraId="5354AE7E">
      <w:pPr>
        <w:spacing w:line="780" w:lineRule="exact"/>
        <w:rPr>
          <w:rFonts w:hint="eastAsia" w:ascii="华文新魏" w:hAnsi="黑体" w:eastAsia="华文新魏"/>
          <w:b/>
          <w:spacing w:val="20"/>
          <w:kern w:val="10"/>
          <w:sz w:val="56"/>
          <w:szCs w:val="72"/>
        </w:rPr>
      </w:pPr>
    </w:p>
    <w:p w14:paraId="2BB3356C">
      <w:pPr>
        <w:spacing w:line="780" w:lineRule="exact"/>
        <w:jc w:val="center"/>
        <w:rPr>
          <w:rFonts w:hint="eastAsia" w:ascii="华文新魏" w:hAnsi="黑体" w:eastAsia="华文新魏"/>
          <w:b/>
          <w:spacing w:val="20"/>
          <w:kern w:val="10"/>
          <w:sz w:val="56"/>
          <w:szCs w:val="72"/>
        </w:rPr>
      </w:pPr>
    </w:p>
    <w:p w14:paraId="67736CE4">
      <w:pPr>
        <w:spacing w:line="780" w:lineRule="exact"/>
        <w:jc w:val="center"/>
        <w:rPr>
          <w:rFonts w:hint="eastAsia" w:ascii="华文新魏" w:hAnsi="黑体" w:eastAsia="华文新魏"/>
          <w:b/>
          <w:spacing w:val="20"/>
          <w:kern w:val="10"/>
          <w:sz w:val="56"/>
          <w:szCs w:val="72"/>
        </w:rPr>
      </w:pPr>
    </w:p>
    <w:p w14:paraId="53643590">
      <w:pPr>
        <w:spacing w:line="780" w:lineRule="exact"/>
        <w:jc w:val="center"/>
        <w:rPr>
          <w:rFonts w:hint="eastAsia" w:ascii="华文新魏" w:hAnsi="黑体" w:eastAsia="华文新魏"/>
          <w:b/>
          <w:spacing w:val="20"/>
          <w:kern w:val="10"/>
          <w:sz w:val="56"/>
          <w:szCs w:val="72"/>
        </w:rPr>
      </w:pPr>
    </w:p>
    <w:p w14:paraId="11B28B94">
      <w:pPr>
        <w:spacing w:line="360" w:lineRule="auto"/>
        <w:jc w:val="center"/>
        <w:rPr>
          <w:rFonts w:hint="eastAsia" w:ascii="华文中宋" w:hAnsi="华文中宋" w:eastAsia="华文中宋"/>
          <w:sz w:val="40"/>
          <w:szCs w:val="36"/>
        </w:rPr>
      </w:pPr>
      <w:r>
        <w:rPr>
          <w:rFonts w:hint="eastAsia" w:ascii="华文中宋" w:hAnsi="华文中宋" w:eastAsia="华文中宋"/>
          <w:sz w:val="40"/>
          <w:szCs w:val="36"/>
        </w:rPr>
        <w:t>招标人：广州广重企业集团有限公司</w:t>
      </w:r>
    </w:p>
    <w:p w14:paraId="07C34E03">
      <w:pPr>
        <w:spacing w:line="360" w:lineRule="auto"/>
        <w:jc w:val="center"/>
        <w:rPr>
          <w:rFonts w:hint="eastAsia" w:ascii="华文中宋" w:hAnsi="华文中宋" w:eastAsia="华文中宋"/>
          <w:sz w:val="40"/>
          <w:szCs w:val="36"/>
        </w:rPr>
      </w:pPr>
      <w:r>
        <w:rPr>
          <w:rFonts w:hint="eastAsia" w:ascii="华文中宋" w:hAnsi="华文中宋" w:eastAsia="华文中宋"/>
          <w:sz w:val="40"/>
          <w:szCs w:val="36"/>
        </w:rPr>
        <w:t>2025年10月</w:t>
      </w:r>
    </w:p>
    <w:p w14:paraId="6300F577">
      <w:pPr>
        <w:spacing w:line="780" w:lineRule="exact"/>
        <w:rPr>
          <w:rFonts w:eastAsia="黑体"/>
          <w:b/>
          <w:sz w:val="44"/>
          <w:szCs w:val="44"/>
        </w:rPr>
      </w:pPr>
      <w:r>
        <w:rPr>
          <w:rFonts w:eastAsia="黑体"/>
          <w:b/>
          <w:sz w:val="44"/>
          <w:szCs w:val="44"/>
        </w:rPr>
        <w:br w:type="page"/>
      </w:r>
    </w:p>
    <w:p w14:paraId="3B9023CA">
      <w:pPr>
        <w:spacing w:line="360" w:lineRule="auto"/>
        <w:jc w:val="center"/>
        <w:rPr>
          <w:rFonts w:eastAsia="黑体"/>
          <w:b/>
          <w:sz w:val="36"/>
          <w:szCs w:val="36"/>
        </w:rPr>
      </w:pPr>
    </w:p>
    <w:p w14:paraId="5FBAD805">
      <w:pPr>
        <w:spacing w:line="480" w:lineRule="exact"/>
        <w:jc w:val="center"/>
        <w:outlineLvl w:val="0"/>
        <w:rPr>
          <w:rFonts w:eastAsia="黑体"/>
          <w:b/>
          <w:sz w:val="44"/>
        </w:rPr>
      </w:pPr>
      <w:r>
        <w:rPr>
          <w:rFonts w:hint="eastAsia" w:eastAsia="黑体"/>
          <w:b/>
          <w:sz w:val="44"/>
        </w:rPr>
        <w:t>目   录</w:t>
      </w:r>
    </w:p>
    <w:p w14:paraId="42875E92">
      <w:pPr>
        <w:spacing w:line="360" w:lineRule="auto"/>
        <w:jc w:val="center"/>
        <w:rPr>
          <w:rFonts w:eastAsia="黑体"/>
          <w:b/>
          <w:sz w:val="36"/>
          <w:szCs w:val="36"/>
        </w:rPr>
      </w:pPr>
    </w:p>
    <w:p w14:paraId="1E80A2FC">
      <w:pPr>
        <w:spacing w:line="360" w:lineRule="auto"/>
        <w:ind w:left="1079" w:leftChars="514" w:firstLine="1260" w:firstLineChars="350"/>
        <w:rPr>
          <w:rFonts w:eastAsia="黑体"/>
          <w:sz w:val="36"/>
          <w:szCs w:val="36"/>
        </w:rPr>
      </w:pPr>
      <w:r>
        <w:rPr>
          <w:rFonts w:hint="eastAsia" w:eastAsia="黑体"/>
          <w:sz w:val="36"/>
          <w:szCs w:val="36"/>
        </w:rPr>
        <w:t>第一部分     招标公告</w:t>
      </w:r>
    </w:p>
    <w:p w14:paraId="431D7645">
      <w:pPr>
        <w:spacing w:line="360" w:lineRule="auto"/>
        <w:ind w:left="1079" w:leftChars="514" w:firstLine="1260" w:firstLineChars="350"/>
        <w:rPr>
          <w:rFonts w:eastAsia="黑体"/>
          <w:sz w:val="36"/>
          <w:szCs w:val="36"/>
        </w:rPr>
      </w:pPr>
      <w:r>
        <w:rPr>
          <w:rFonts w:hint="eastAsia" w:eastAsia="黑体"/>
          <w:sz w:val="36"/>
          <w:szCs w:val="36"/>
        </w:rPr>
        <w:t xml:space="preserve">第二部分     </w:t>
      </w:r>
      <w:r>
        <w:rPr>
          <w:rFonts w:hint="eastAsia" w:ascii="黑体" w:eastAsia="黑体"/>
          <w:sz w:val="36"/>
          <w:szCs w:val="36"/>
        </w:rPr>
        <w:t>用户需求书</w:t>
      </w:r>
    </w:p>
    <w:p w14:paraId="278FEFB4">
      <w:pPr>
        <w:spacing w:line="360" w:lineRule="auto"/>
        <w:ind w:left="1079" w:leftChars="514" w:firstLine="1260" w:firstLineChars="350"/>
        <w:rPr>
          <w:rFonts w:eastAsia="黑体"/>
          <w:sz w:val="36"/>
          <w:szCs w:val="36"/>
        </w:rPr>
      </w:pPr>
      <w:r>
        <w:rPr>
          <w:rFonts w:hint="eastAsia" w:eastAsia="黑体"/>
          <w:sz w:val="36"/>
          <w:szCs w:val="36"/>
        </w:rPr>
        <w:t>第三部分     投标人须知</w:t>
      </w:r>
    </w:p>
    <w:p w14:paraId="39B08A15">
      <w:pPr>
        <w:spacing w:line="360" w:lineRule="auto"/>
        <w:ind w:left="1079" w:leftChars="514" w:firstLine="1260" w:firstLineChars="350"/>
        <w:rPr>
          <w:rFonts w:eastAsia="黑体"/>
          <w:sz w:val="36"/>
          <w:szCs w:val="36"/>
        </w:rPr>
      </w:pPr>
      <w:r>
        <w:rPr>
          <w:rFonts w:hint="eastAsia" w:eastAsia="黑体"/>
          <w:sz w:val="36"/>
          <w:szCs w:val="36"/>
        </w:rPr>
        <w:t xml:space="preserve">第四部分     </w:t>
      </w:r>
      <w:r>
        <w:rPr>
          <w:rFonts w:eastAsia="黑体"/>
          <w:sz w:val="36"/>
          <w:szCs w:val="36"/>
        </w:rPr>
        <w:t>评标</w:t>
      </w:r>
      <w:r>
        <w:rPr>
          <w:rFonts w:hint="eastAsia" w:eastAsia="黑体"/>
          <w:sz w:val="36"/>
          <w:szCs w:val="36"/>
        </w:rPr>
        <w:t>方</w:t>
      </w:r>
      <w:r>
        <w:rPr>
          <w:rFonts w:eastAsia="黑体"/>
          <w:sz w:val="36"/>
          <w:szCs w:val="36"/>
        </w:rPr>
        <w:t>法</w:t>
      </w:r>
    </w:p>
    <w:p w14:paraId="31B96598">
      <w:pPr>
        <w:spacing w:line="360" w:lineRule="auto"/>
        <w:ind w:left="1079" w:leftChars="514" w:firstLine="1260" w:firstLineChars="350"/>
        <w:rPr>
          <w:rFonts w:eastAsia="黑体"/>
          <w:sz w:val="36"/>
          <w:szCs w:val="36"/>
        </w:rPr>
      </w:pPr>
      <w:r>
        <w:rPr>
          <w:rFonts w:hint="eastAsia" w:eastAsia="黑体"/>
          <w:sz w:val="36"/>
          <w:szCs w:val="36"/>
        </w:rPr>
        <w:t>第五部分     合同书格式</w:t>
      </w:r>
    </w:p>
    <w:p w14:paraId="030D621D">
      <w:pPr>
        <w:spacing w:line="360" w:lineRule="auto"/>
        <w:ind w:left="1079" w:leftChars="514" w:firstLine="1260" w:firstLineChars="350"/>
        <w:rPr>
          <w:rFonts w:eastAsia="黑体"/>
          <w:sz w:val="36"/>
          <w:szCs w:val="36"/>
        </w:rPr>
      </w:pPr>
      <w:r>
        <w:rPr>
          <w:rFonts w:eastAsia="黑体"/>
          <w:sz w:val="36"/>
          <w:szCs w:val="36"/>
        </w:rPr>
        <w:t xml:space="preserve">第六部分   </w:t>
      </w:r>
      <w:r>
        <w:rPr>
          <w:rFonts w:hint="eastAsia" w:eastAsia="黑体"/>
          <w:sz w:val="36"/>
          <w:szCs w:val="36"/>
        </w:rPr>
        <w:t xml:space="preserve">  投标文件格式</w:t>
      </w:r>
    </w:p>
    <w:p w14:paraId="7D9981E8">
      <w:pPr>
        <w:spacing w:line="360" w:lineRule="auto"/>
        <w:ind w:left="1079" w:leftChars="514" w:firstLine="1260" w:firstLineChars="350"/>
        <w:rPr>
          <w:rFonts w:eastAsia="黑体"/>
          <w:sz w:val="36"/>
          <w:szCs w:val="36"/>
        </w:rPr>
      </w:pPr>
    </w:p>
    <w:p w14:paraId="7E4A1A4F">
      <w:pPr>
        <w:spacing w:line="360" w:lineRule="auto"/>
        <w:ind w:left="1079" w:leftChars="514" w:firstLine="1260" w:firstLineChars="350"/>
        <w:rPr>
          <w:rFonts w:eastAsia="黑体"/>
          <w:sz w:val="36"/>
          <w:szCs w:val="36"/>
        </w:rPr>
      </w:pPr>
    </w:p>
    <w:p w14:paraId="096936B0">
      <w:pPr>
        <w:spacing w:line="360" w:lineRule="auto"/>
        <w:ind w:firstLine="480" w:firstLineChars="200"/>
        <w:rPr>
          <w:sz w:val="24"/>
        </w:rPr>
      </w:pPr>
    </w:p>
    <w:p w14:paraId="5DBEDD81">
      <w:pPr>
        <w:spacing w:line="480" w:lineRule="exact"/>
        <w:jc w:val="center"/>
        <w:rPr>
          <w:rFonts w:eastAsia="黑体"/>
          <w:b/>
          <w:sz w:val="44"/>
        </w:rPr>
      </w:pPr>
      <w:r>
        <w:rPr>
          <w:sz w:val="24"/>
          <w:szCs w:val="24"/>
        </w:rPr>
        <w:br w:type="page"/>
      </w:r>
    </w:p>
    <w:p w14:paraId="1CA48E35">
      <w:pPr>
        <w:spacing w:line="480" w:lineRule="exact"/>
        <w:jc w:val="center"/>
        <w:rPr>
          <w:rFonts w:eastAsia="黑体"/>
          <w:b/>
          <w:sz w:val="44"/>
        </w:rPr>
      </w:pPr>
    </w:p>
    <w:p w14:paraId="1C8BEC73">
      <w:pPr>
        <w:spacing w:line="480" w:lineRule="exact"/>
        <w:jc w:val="center"/>
        <w:rPr>
          <w:rFonts w:eastAsia="黑体"/>
          <w:b/>
          <w:sz w:val="44"/>
        </w:rPr>
      </w:pPr>
    </w:p>
    <w:p w14:paraId="33F0A166">
      <w:pPr>
        <w:spacing w:line="480" w:lineRule="exact"/>
        <w:jc w:val="center"/>
        <w:rPr>
          <w:rFonts w:eastAsia="黑体"/>
          <w:b/>
          <w:sz w:val="44"/>
        </w:rPr>
      </w:pPr>
    </w:p>
    <w:p w14:paraId="0A77E46C">
      <w:pPr>
        <w:spacing w:line="480" w:lineRule="exact"/>
        <w:jc w:val="center"/>
        <w:rPr>
          <w:rFonts w:eastAsia="黑体"/>
          <w:b/>
          <w:sz w:val="44"/>
        </w:rPr>
      </w:pPr>
    </w:p>
    <w:p w14:paraId="2FAA482A">
      <w:pPr>
        <w:spacing w:line="480" w:lineRule="exact"/>
        <w:jc w:val="center"/>
        <w:rPr>
          <w:rFonts w:eastAsia="黑体"/>
          <w:b/>
          <w:sz w:val="44"/>
        </w:rPr>
      </w:pPr>
    </w:p>
    <w:p w14:paraId="063F3A9E">
      <w:pPr>
        <w:spacing w:line="480" w:lineRule="exact"/>
        <w:jc w:val="center"/>
        <w:rPr>
          <w:rFonts w:eastAsia="黑体"/>
          <w:b/>
          <w:sz w:val="44"/>
        </w:rPr>
      </w:pPr>
    </w:p>
    <w:p w14:paraId="4B1A4CED">
      <w:pPr>
        <w:spacing w:line="480" w:lineRule="exact"/>
        <w:jc w:val="center"/>
        <w:rPr>
          <w:rFonts w:eastAsia="黑体"/>
          <w:b/>
          <w:sz w:val="44"/>
        </w:rPr>
      </w:pPr>
    </w:p>
    <w:p w14:paraId="3DCB30D0">
      <w:pPr>
        <w:spacing w:line="480" w:lineRule="exact"/>
        <w:jc w:val="center"/>
        <w:rPr>
          <w:rFonts w:eastAsia="黑体"/>
          <w:b/>
          <w:sz w:val="44"/>
        </w:rPr>
      </w:pPr>
    </w:p>
    <w:p w14:paraId="5B7ABC24">
      <w:pPr>
        <w:spacing w:line="480" w:lineRule="exact"/>
        <w:jc w:val="center"/>
        <w:rPr>
          <w:rFonts w:eastAsia="黑体"/>
          <w:b/>
          <w:sz w:val="44"/>
        </w:rPr>
      </w:pPr>
    </w:p>
    <w:p w14:paraId="2BE580ED">
      <w:pPr>
        <w:spacing w:line="480" w:lineRule="exact"/>
        <w:jc w:val="center"/>
        <w:rPr>
          <w:rFonts w:eastAsia="黑体"/>
          <w:b/>
          <w:sz w:val="44"/>
        </w:rPr>
      </w:pPr>
    </w:p>
    <w:p w14:paraId="08A1F11D">
      <w:pPr>
        <w:spacing w:line="480" w:lineRule="exact"/>
        <w:jc w:val="center"/>
        <w:rPr>
          <w:rFonts w:eastAsia="黑体"/>
          <w:b/>
          <w:sz w:val="44"/>
        </w:rPr>
      </w:pPr>
    </w:p>
    <w:p w14:paraId="49AF50E2">
      <w:pPr>
        <w:spacing w:line="480" w:lineRule="exact"/>
        <w:jc w:val="center"/>
        <w:rPr>
          <w:rFonts w:eastAsia="黑体"/>
          <w:b/>
          <w:sz w:val="44"/>
        </w:rPr>
      </w:pPr>
    </w:p>
    <w:p w14:paraId="4663C871">
      <w:pPr>
        <w:spacing w:line="480" w:lineRule="exact"/>
        <w:jc w:val="center"/>
        <w:outlineLvl w:val="0"/>
        <w:rPr>
          <w:rFonts w:eastAsia="黑体"/>
          <w:b/>
          <w:sz w:val="44"/>
        </w:rPr>
      </w:pPr>
      <w:r>
        <w:rPr>
          <w:rFonts w:hint="eastAsia" w:eastAsia="黑体"/>
          <w:b/>
          <w:sz w:val="44"/>
        </w:rPr>
        <w:t xml:space="preserve">第一部分 </w:t>
      </w:r>
      <w:r>
        <w:rPr>
          <w:rFonts w:eastAsia="黑体"/>
          <w:b/>
          <w:sz w:val="44"/>
        </w:rPr>
        <w:t xml:space="preserve"> </w:t>
      </w:r>
      <w:r>
        <w:rPr>
          <w:rFonts w:hint="eastAsia" w:eastAsia="黑体"/>
          <w:b/>
          <w:sz w:val="44"/>
        </w:rPr>
        <w:t>招标公告</w:t>
      </w:r>
    </w:p>
    <w:p w14:paraId="6EDE2EF0">
      <w:pPr>
        <w:snapToGrid w:val="0"/>
        <w:jc w:val="center"/>
        <w:rPr>
          <w:b/>
          <w:bCs/>
          <w:sz w:val="36"/>
          <w:szCs w:val="32"/>
        </w:rPr>
      </w:pPr>
      <w:r>
        <w:rPr>
          <w:sz w:val="24"/>
        </w:rPr>
        <w:br w:type="page"/>
      </w:r>
      <w:r>
        <w:rPr>
          <w:rFonts w:hint="eastAsia"/>
          <w:b/>
          <w:bCs/>
          <w:sz w:val="36"/>
          <w:szCs w:val="32"/>
        </w:rPr>
        <w:t>广州工控大湾区现代高端装备研发生产基地项目</w:t>
      </w:r>
    </w:p>
    <w:p w14:paraId="71EA002D">
      <w:pPr>
        <w:snapToGrid w:val="0"/>
        <w:jc w:val="center"/>
        <w:rPr>
          <w:rFonts w:hint="eastAsia" w:ascii="宋体" w:hAnsi="宋体"/>
          <w:b/>
          <w:kern w:val="28"/>
          <w:sz w:val="36"/>
          <w:szCs w:val="36"/>
        </w:rPr>
      </w:pPr>
      <w:r>
        <w:rPr>
          <w:rFonts w:hint="eastAsia"/>
          <w:b/>
          <w:bCs/>
          <w:sz w:val="36"/>
          <w:szCs w:val="32"/>
        </w:rPr>
        <w:t>（三期）办公家具采购项目</w:t>
      </w:r>
      <w:r>
        <w:rPr>
          <w:rFonts w:hint="eastAsia" w:ascii="宋体" w:hAnsi="宋体"/>
          <w:b/>
          <w:kern w:val="28"/>
          <w:sz w:val="36"/>
          <w:szCs w:val="36"/>
        </w:rPr>
        <w:t>招标公告</w:t>
      </w:r>
    </w:p>
    <w:p w14:paraId="7D166272">
      <w:pPr>
        <w:snapToGrid w:val="0"/>
        <w:spacing w:line="360" w:lineRule="auto"/>
        <w:ind w:firstLine="514" w:firstLineChars="245"/>
        <w:rPr>
          <w:rFonts w:hint="eastAsia" w:ascii="宋体" w:hAnsi="宋体"/>
          <w:kern w:val="28"/>
        </w:rPr>
      </w:pPr>
      <w:bookmarkStart w:id="1" w:name="_Hlk160808955"/>
    </w:p>
    <w:p w14:paraId="65455DE8">
      <w:pPr>
        <w:snapToGrid w:val="0"/>
        <w:spacing w:line="360" w:lineRule="auto"/>
        <w:ind w:firstLine="514" w:firstLineChars="245"/>
        <w:rPr>
          <w:rFonts w:hint="eastAsia" w:ascii="宋体" w:hAnsi="宋体"/>
          <w:kern w:val="28"/>
        </w:rPr>
      </w:pPr>
      <w:r>
        <w:rPr>
          <w:rFonts w:hint="eastAsia" w:ascii="宋体" w:hAnsi="宋体"/>
          <w:kern w:val="28"/>
        </w:rPr>
        <w:t>广州广重企业集团有限公司（招标人）就广州工控大湾区现代高端装备研发生产基地项目（三期）办公家具采购项目（招标编号：广重招2025-45号）进行公开招标，现邀请有能力提供合格货物及服务的供应商参加本项目的投标。相关事宜通知如下：</w:t>
      </w:r>
    </w:p>
    <w:p w14:paraId="6E8ABA10">
      <w:pPr>
        <w:snapToGrid w:val="0"/>
        <w:spacing w:line="360" w:lineRule="auto"/>
        <w:rPr>
          <w:rFonts w:hint="eastAsia" w:ascii="宋体" w:hAnsi="宋体" w:cs="宋体"/>
          <w:kern w:val="28"/>
        </w:rPr>
      </w:pPr>
    </w:p>
    <w:p w14:paraId="464F9DA0">
      <w:pPr>
        <w:snapToGrid w:val="0"/>
        <w:spacing w:line="360" w:lineRule="auto"/>
        <w:rPr>
          <w:rFonts w:hint="eastAsia" w:ascii="宋体" w:hAnsi="宋体"/>
          <w:b/>
          <w:bCs/>
          <w:kern w:val="28"/>
        </w:rPr>
      </w:pPr>
      <w:r>
        <w:rPr>
          <w:rFonts w:hint="eastAsia" w:ascii="宋体" w:hAnsi="宋体"/>
          <w:b/>
          <w:bCs/>
          <w:kern w:val="28"/>
        </w:rPr>
        <w:t>一、项目内容及需求</w:t>
      </w:r>
    </w:p>
    <w:p w14:paraId="40E47207">
      <w:pPr>
        <w:snapToGrid w:val="0"/>
        <w:spacing w:line="360" w:lineRule="auto"/>
        <w:rPr>
          <w:rFonts w:hint="eastAsia" w:ascii="宋体" w:hAnsi="宋体"/>
          <w:kern w:val="28"/>
          <w:szCs w:val="21"/>
        </w:rPr>
      </w:pPr>
      <w:r>
        <w:rPr>
          <w:rFonts w:hint="eastAsia" w:ascii="宋体" w:hAnsi="宋体"/>
          <w:szCs w:val="21"/>
        </w:rPr>
        <w:t>项目名称：</w:t>
      </w:r>
      <w:r>
        <w:rPr>
          <w:rFonts w:hint="eastAsia" w:ascii="宋体" w:hAnsi="宋体"/>
          <w:kern w:val="28"/>
        </w:rPr>
        <w:t>广州工控大湾区现代高端装备研发生产基地项目（三期）办公家具采购项目</w:t>
      </w:r>
    </w:p>
    <w:p w14:paraId="49077244">
      <w:pPr>
        <w:snapToGrid w:val="0"/>
        <w:spacing w:line="360" w:lineRule="auto"/>
        <w:rPr>
          <w:rFonts w:hint="eastAsia" w:ascii="宋体" w:hAnsi="宋体"/>
          <w:kern w:val="28"/>
        </w:rPr>
      </w:pPr>
      <w:r>
        <w:rPr>
          <w:rFonts w:hint="eastAsia" w:ascii="宋体" w:hAnsi="宋体"/>
          <w:kern w:val="28"/>
        </w:rPr>
        <w:t>资金来源：企业自筹</w:t>
      </w:r>
    </w:p>
    <w:p w14:paraId="64F9040E">
      <w:pPr>
        <w:snapToGrid w:val="0"/>
        <w:spacing w:line="360" w:lineRule="auto"/>
        <w:rPr>
          <w:rFonts w:hint="eastAsia" w:ascii="宋体" w:hAnsi="宋体"/>
          <w:kern w:val="28"/>
        </w:rPr>
      </w:pPr>
      <w:r>
        <w:rPr>
          <w:rFonts w:hint="eastAsia" w:ascii="宋体" w:hAnsi="宋体"/>
          <w:kern w:val="28"/>
        </w:rPr>
        <w:t>项目地点：广东省广州市南沙区大岗镇潭新公路362号</w:t>
      </w:r>
    </w:p>
    <w:p w14:paraId="02039239">
      <w:pPr>
        <w:snapToGrid w:val="0"/>
        <w:spacing w:line="360" w:lineRule="auto"/>
        <w:rPr>
          <w:rFonts w:hint="eastAsia" w:ascii="宋体" w:hAnsi="宋体"/>
          <w:kern w:val="28"/>
        </w:rPr>
      </w:pPr>
      <w:r>
        <w:rPr>
          <w:rFonts w:hint="eastAsia" w:ascii="宋体" w:hAnsi="宋体"/>
          <w:kern w:val="28"/>
        </w:rPr>
        <w:t>交货期：本项目总工期为30天（签订合同后）</w:t>
      </w:r>
    </w:p>
    <w:p w14:paraId="726379AD">
      <w:pPr>
        <w:snapToGrid w:val="0"/>
        <w:spacing w:line="360" w:lineRule="auto"/>
        <w:rPr>
          <w:rFonts w:hint="eastAsia" w:ascii="宋体" w:hAnsi="宋体"/>
          <w:kern w:val="28"/>
        </w:rPr>
      </w:pPr>
      <w:r>
        <w:rPr>
          <w:rFonts w:hint="eastAsia" w:ascii="宋体" w:hAnsi="宋体"/>
          <w:kern w:val="28"/>
        </w:rPr>
        <w:t>本项目最高限价：子项一（公共区域办公家具）最高限价35万元（大写：叁拾伍万元整），子项二（广重集团办公家具）最高限价165万元（大写：壹佰陆拾伍万元整），合计最高限价200万元（大写：贰百万元整）。</w:t>
      </w:r>
    </w:p>
    <w:p w14:paraId="70929695">
      <w:pPr>
        <w:snapToGrid w:val="0"/>
        <w:spacing w:line="360" w:lineRule="auto"/>
        <w:rPr>
          <w:rFonts w:hint="eastAsia" w:ascii="宋体" w:hAnsi="宋体"/>
          <w:kern w:val="28"/>
        </w:rPr>
      </w:pPr>
      <w:r>
        <w:rPr>
          <w:rFonts w:hint="eastAsia" w:ascii="宋体" w:hAnsi="宋体"/>
          <w:kern w:val="28"/>
        </w:rPr>
        <w:t>报价要求：投标人可选择对其中任何一个或两个子项分开报价，投标价不得超出子项最高限价，否则其投标文件将被否决。</w:t>
      </w:r>
    </w:p>
    <w:p w14:paraId="4536AB57">
      <w:pPr>
        <w:snapToGrid w:val="0"/>
        <w:spacing w:line="360" w:lineRule="auto"/>
        <w:rPr>
          <w:rFonts w:hint="eastAsia" w:ascii="宋体" w:hAnsi="宋体"/>
          <w:b/>
          <w:bCs/>
          <w:kern w:val="28"/>
        </w:rPr>
      </w:pPr>
      <w:r>
        <w:rPr>
          <w:rFonts w:hint="eastAsia" w:ascii="宋体" w:hAnsi="宋体"/>
          <w:b/>
          <w:bCs/>
          <w:kern w:val="28"/>
        </w:rPr>
        <w:t>二、</w:t>
      </w:r>
      <w:r>
        <w:rPr>
          <w:rFonts w:hint="eastAsia" w:ascii="宋体" w:hAnsi="宋体"/>
          <w:b/>
          <w:bCs/>
        </w:rPr>
        <w:t>合格投标人条件</w:t>
      </w:r>
    </w:p>
    <w:p w14:paraId="037C6F14">
      <w:pPr>
        <w:snapToGrid w:val="0"/>
        <w:spacing w:line="360" w:lineRule="auto"/>
        <w:rPr>
          <w:rFonts w:hint="eastAsia" w:ascii="宋体" w:hAnsi="宋体"/>
          <w:szCs w:val="21"/>
        </w:rPr>
      </w:pPr>
      <w:r>
        <w:rPr>
          <w:rFonts w:ascii="宋体" w:hAnsi="宋体"/>
          <w:szCs w:val="21"/>
        </w:rPr>
        <w:t xml:space="preserve">1. </w:t>
      </w:r>
      <w:r>
        <w:rPr>
          <w:rFonts w:hint="eastAsia" w:ascii="宋体" w:hAnsi="宋体" w:cs="宋体"/>
          <w:kern w:val="0"/>
          <w:szCs w:val="21"/>
        </w:rPr>
        <w:t>投标人必须</w:t>
      </w:r>
      <w:r>
        <w:rPr>
          <w:rFonts w:ascii="宋体" w:hAnsi="宋体"/>
          <w:szCs w:val="21"/>
        </w:rPr>
        <w:t>具有独立承担民事责任能力的在中华人民共和国境内注册的法人或其它组织</w:t>
      </w:r>
      <w:r>
        <w:rPr>
          <w:rFonts w:hint="eastAsia" w:ascii="宋体" w:hAnsi="宋体"/>
          <w:kern w:val="28"/>
          <w:szCs w:val="21"/>
        </w:rPr>
        <w:t>，有合法经营权</w:t>
      </w:r>
      <w:r>
        <w:rPr>
          <w:rFonts w:ascii="宋体" w:hAnsi="宋体"/>
          <w:szCs w:val="21"/>
        </w:rPr>
        <w:t>；</w:t>
      </w:r>
    </w:p>
    <w:p w14:paraId="2FA14BAE">
      <w:pPr>
        <w:snapToGrid w:val="0"/>
        <w:spacing w:line="360" w:lineRule="auto"/>
        <w:rPr>
          <w:rFonts w:hint="eastAsia" w:ascii="宋体" w:hAnsi="宋体"/>
          <w:szCs w:val="21"/>
        </w:rPr>
      </w:pPr>
      <w:r>
        <w:rPr>
          <w:rFonts w:hint="eastAsia" w:ascii="宋体" w:hAnsi="宋体"/>
          <w:kern w:val="28"/>
          <w:szCs w:val="21"/>
        </w:rPr>
        <w:t>2</w:t>
      </w:r>
      <w:r>
        <w:rPr>
          <w:rFonts w:ascii="宋体" w:hAnsi="宋体"/>
          <w:kern w:val="28"/>
          <w:szCs w:val="21"/>
        </w:rPr>
        <w:t>.</w:t>
      </w:r>
      <w:r>
        <w:rPr>
          <w:rFonts w:hint="eastAsia" w:ascii="宋体" w:hAnsi="宋体"/>
          <w:kern w:val="28"/>
          <w:szCs w:val="21"/>
        </w:rPr>
        <w:t xml:space="preserve"> </w:t>
      </w:r>
      <w:r>
        <w:rPr>
          <w:rFonts w:hint="eastAsia" w:ascii="宋体" w:hAnsi="宋体" w:cs="宋体"/>
          <w:kern w:val="0"/>
          <w:szCs w:val="21"/>
        </w:rPr>
        <w:t>投标人</w:t>
      </w:r>
      <w:r>
        <w:rPr>
          <w:rFonts w:hint="eastAsia" w:ascii="宋体" w:hAnsi="宋体"/>
          <w:szCs w:val="21"/>
        </w:rPr>
        <w:t>须是所投家具的制造商</w:t>
      </w:r>
      <w:r>
        <w:rPr>
          <w:rFonts w:ascii="宋体" w:hAnsi="宋体"/>
          <w:szCs w:val="21"/>
        </w:rPr>
        <w:t>；</w:t>
      </w:r>
    </w:p>
    <w:p w14:paraId="340FCF06">
      <w:pPr>
        <w:snapToGrid w:val="0"/>
        <w:spacing w:line="360" w:lineRule="auto"/>
        <w:rPr>
          <w:rFonts w:hint="eastAsia" w:ascii="宋体" w:hAnsi="宋体"/>
          <w:szCs w:val="21"/>
        </w:rPr>
      </w:pPr>
      <w:r>
        <w:rPr>
          <w:rFonts w:hint="eastAsia" w:ascii="宋体" w:hAnsi="宋体"/>
          <w:szCs w:val="21"/>
        </w:rPr>
        <w:t>3</w:t>
      </w:r>
      <w:r>
        <w:rPr>
          <w:rFonts w:ascii="宋体" w:hAnsi="宋体"/>
          <w:szCs w:val="21"/>
        </w:rPr>
        <w:t xml:space="preserve">. </w:t>
      </w:r>
      <w:r>
        <w:rPr>
          <w:rFonts w:hint="eastAsia" w:ascii="宋体" w:hAnsi="宋体"/>
          <w:szCs w:val="21"/>
        </w:rPr>
        <w:t>单位负责人为同一人或者存在控股、管理关系的不同单位，不得同时参加本项目投标；</w:t>
      </w:r>
    </w:p>
    <w:p w14:paraId="0DC6F9F7">
      <w:pPr>
        <w:snapToGrid w:val="0"/>
        <w:spacing w:line="360" w:lineRule="auto"/>
        <w:rPr>
          <w:rFonts w:hint="eastAsia" w:ascii="宋体" w:hAnsi="宋体"/>
          <w:szCs w:val="21"/>
        </w:rPr>
      </w:pPr>
      <w:r>
        <w:rPr>
          <w:rFonts w:hint="eastAsia" w:ascii="宋体" w:hAnsi="宋体"/>
          <w:szCs w:val="21"/>
        </w:rPr>
        <w:t>4. 投标人未被列入“信用中国”网站(www.creditchina.gov.cn)记录 “失信被执行人”或“重大税收违法失信主体”名单（以招标人于投标截止日当天在“信用中国”网站www.creditchina.gov.cn查询结果为准，如相关失信记录已失效，投标人需提供相关证明资料）；</w:t>
      </w:r>
    </w:p>
    <w:p w14:paraId="12DB958F">
      <w:pPr>
        <w:snapToGrid w:val="0"/>
        <w:spacing w:line="360" w:lineRule="auto"/>
        <w:rPr>
          <w:rFonts w:hint="eastAsia" w:ascii="宋体" w:hAnsi="宋体"/>
          <w:szCs w:val="21"/>
        </w:rPr>
      </w:pPr>
      <w:r>
        <w:rPr>
          <w:rFonts w:hint="eastAsia" w:ascii="宋体" w:hAnsi="宋体"/>
          <w:szCs w:val="21"/>
        </w:rPr>
        <w:t>5. 本项目不接受联合体投标或分包、转包；</w:t>
      </w:r>
    </w:p>
    <w:p w14:paraId="0602FFD9">
      <w:pPr>
        <w:snapToGrid w:val="0"/>
        <w:spacing w:line="360" w:lineRule="auto"/>
        <w:rPr>
          <w:rFonts w:hint="eastAsia" w:ascii="宋体" w:hAnsi="宋体"/>
        </w:rPr>
      </w:pPr>
      <w:r>
        <w:rPr>
          <w:rFonts w:hint="eastAsia" w:ascii="宋体" w:hAnsi="宋体"/>
          <w:szCs w:val="21"/>
        </w:rPr>
        <w:t>6. 已获取了招标文件。</w:t>
      </w:r>
    </w:p>
    <w:p w14:paraId="769BC232">
      <w:pPr>
        <w:snapToGrid w:val="0"/>
        <w:spacing w:line="360" w:lineRule="auto"/>
        <w:ind w:firstLine="105" w:firstLineChars="50"/>
        <w:rPr>
          <w:rFonts w:hint="eastAsia" w:ascii="宋体" w:hAnsi="宋体"/>
        </w:rPr>
      </w:pPr>
    </w:p>
    <w:p w14:paraId="3E580A8D">
      <w:pPr>
        <w:snapToGrid w:val="0"/>
        <w:spacing w:line="360" w:lineRule="auto"/>
        <w:rPr>
          <w:rFonts w:hint="eastAsia" w:ascii="宋体" w:hAnsi="宋体" w:cs="Tahoma"/>
          <w:b/>
          <w:bCs/>
          <w:kern w:val="28"/>
          <w:szCs w:val="21"/>
        </w:rPr>
      </w:pPr>
      <w:r>
        <w:rPr>
          <w:rFonts w:hint="eastAsia" w:ascii="宋体" w:hAnsi="宋体" w:cs="Tahoma"/>
          <w:b/>
          <w:bCs/>
          <w:kern w:val="28"/>
          <w:szCs w:val="21"/>
        </w:rPr>
        <w:t>三、招标文件获取</w:t>
      </w:r>
    </w:p>
    <w:p w14:paraId="79101040">
      <w:pPr>
        <w:snapToGrid w:val="0"/>
        <w:spacing w:line="360" w:lineRule="auto"/>
        <w:rPr>
          <w:rFonts w:hint="eastAsia" w:ascii="宋体" w:hAnsi="宋体" w:cs="Tahoma"/>
          <w:kern w:val="28"/>
          <w:szCs w:val="21"/>
          <w:lang w:val="en-US" w:eastAsia="zh-CN"/>
        </w:rPr>
      </w:pPr>
      <w:r>
        <w:rPr>
          <w:rFonts w:hint="eastAsia" w:ascii="宋体" w:hAnsi="宋体" w:cs="Tahoma"/>
          <w:kern w:val="28"/>
          <w:szCs w:val="21"/>
        </w:rPr>
        <w:t>有</w:t>
      </w:r>
      <w:r>
        <w:rPr>
          <w:rFonts w:hint="eastAsia" w:ascii="宋体" w:hAnsi="宋体" w:cs="Tahoma"/>
          <w:kern w:val="28"/>
          <w:szCs w:val="21"/>
          <w:lang w:val="en-US" w:eastAsia="zh-CN"/>
        </w:rPr>
        <w:t>意向的</w:t>
      </w:r>
      <w:r>
        <w:rPr>
          <w:rFonts w:hint="eastAsia" w:ascii="宋体" w:hAnsi="宋体" w:cs="Tahoma"/>
          <w:kern w:val="28"/>
          <w:szCs w:val="21"/>
        </w:rPr>
        <w:t>投标人请</w:t>
      </w:r>
      <w:r>
        <w:rPr>
          <w:rFonts w:hint="eastAsia" w:ascii="宋体" w:hAnsi="宋体" w:cs="Tahoma"/>
          <w:kern w:val="28"/>
          <w:szCs w:val="21"/>
          <w:lang w:val="en-US" w:eastAsia="zh-CN"/>
        </w:rPr>
        <w:t>自行在广州工控集团官方网站采购平台（https://ips.giihg.com）或广重集团官方网站（https://www.gzhm.com）下载获取。</w:t>
      </w:r>
    </w:p>
    <w:p w14:paraId="487D5ADB">
      <w:pPr>
        <w:snapToGrid w:val="0"/>
        <w:spacing w:line="360" w:lineRule="auto"/>
        <w:rPr>
          <w:rFonts w:hint="eastAsia" w:ascii="宋体" w:hAnsi="宋体" w:cs="Tahoma"/>
          <w:kern w:val="28"/>
          <w:szCs w:val="21"/>
        </w:rPr>
      </w:pPr>
    </w:p>
    <w:p w14:paraId="42ADB9F6">
      <w:pPr>
        <w:snapToGrid w:val="0"/>
        <w:spacing w:line="360" w:lineRule="auto"/>
        <w:rPr>
          <w:rFonts w:hint="eastAsia" w:ascii="宋体" w:hAnsi="宋体"/>
          <w:b/>
          <w:bCs/>
          <w:kern w:val="28"/>
        </w:rPr>
      </w:pPr>
      <w:r>
        <w:rPr>
          <w:rFonts w:hint="eastAsia" w:ascii="宋体" w:hAnsi="宋体"/>
          <w:b/>
          <w:bCs/>
          <w:kern w:val="28"/>
        </w:rPr>
        <w:t>四、投标截止时间、开标时间及方式、地点</w:t>
      </w:r>
    </w:p>
    <w:p w14:paraId="777142F0">
      <w:pPr>
        <w:snapToGrid w:val="0"/>
        <w:spacing w:line="360" w:lineRule="auto"/>
        <w:rPr>
          <w:rFonts w:hint="eastAsia" w:ascii="宋体" w:hAnsi="宋体"/>
          <w:kern w:val="28"/>
        </w:rPr>
      </w:pPr>
      <w:r>
        <w:rPr>
          <w:rFonts w:hint="eastAsia" w:ascii="宋体" w:hAnsi="宋体"/>
          <w:kern w:val="28"/>
        </w:rPr>
        <w:t>1、投标截止时间：2025年11月6日17：00</w:t>
      </w:r>
    </w:p>
    <w:p w14:paraId="7FD118D3">
      <w:pPr>
        <w:snapToGrid w:val="0"/>
        <w:spacing w:line="360" w:lineRule="auto"/>
        <w:rPr>
          <w:rFonts w:hint="eastAsia" w:ascii="宋体" w:hAnsi="宋体"/>
          <w:kern w:val="28"/>
        </w:rPr>
      </w:pPr>
      <w:r>
        <w:rPr>
          <w:rFonts w:hint="eastAsia" w:ascii="宋体" w:hAnsi="宋体"/>
          <w:kern w:val="28"/>
        </w:rPr>
        <w:t>2、开标时间：暂定2025年11月7日09：00</w:t>
      </w:r>
    </w:p>
    <w:p w14:paraId="720ECE3A">
      <w:pPr>
        <w:snapToGrid w:val="0"/>
        <w:spacing w:line="360" w:lineRule="auto"/>
        <w:rPr>
          <w:rFonts w:hint="eastAsia" w:ascii="宋体" w:hAnsi="宋体"/>
          <w:kern w:val="28"/>
        </w:rPr>
      </w:pPr>
      <w:r>
        <w:rPr>
          <w:rFonts w:hint="eastAsia" w:ascii="宋体" w:hAnsi="宋体"/>
          <w:kern w:val="28"/>
        </w:rPr>
        <w:t>3、开标地点：暂定广州市番禺区石壁街道钟顺路626号行政楼二楼</w:t>
      </w:r>
    </w:p>
    <w:p w14:paraId="54CD0135">
      <w:pPr>
        <w:snapToGrid w:val="0"/>
        <w:spacing w:line="360" w:lineRule="auto"/>
        <w:rPr>
          <w:rFonts w:hint="eastAsia" w:ascii="宋体" w:hAnsi="宋体"/>
          <w:kern w:val="28"/>
        </w:rPr>
      </w:pPr>
    </w:p>
    <w:p w14:paraId="5F4D7770">
      <w:pPr>
        <w:snapToGrid w:val="0"/>
        <w:spacing w:line="360" w:lineRule="auto"/>
        <w:rPr>
          <w:rFonts w:hint="eastAsia" w:ascii="宋体" w:hAnsi="宋体"/>
          <w:b/>
          <w:bCs/>
          <w:kern w:val="28"/>
          <w:szCs w:val="24"/>
        </w:rPr>
      </w:pPr>
      <w:r>
        <w:rPr>
          <w:rFonts w:hint="eastAsia" w:ascii="宋体" w:hAnsi="宋体"/>
          <w:b/>
          <w:bCs/>
          <w:kern w:val="28"/>
          <w:szCs w:val="24"/>
        </w:rPr>
        <w:t>五、发布招标项目信息的媒介</w:t>
      </w:r>
    </w:p>
    <w:p w14:paraId="1ADE2DF4">
      <w:pPr>
        <w:snapToGrid w:val="0"/>
        <w:spacing w:line="360" w:lineRule="auto"/>
        <w:ind w:firstLine="420" w:firstLineChars="200"/>
        <w:rPr>
          <w:rFonts w:hint="eastAsia" w:ascii="宋体" w:hAnsi="宋体"/>
          <w:kern w:val="28"/>
          <w:szCs w:val="24"/>
        </w:rPr>
      </w:pPr>
      <w:r>
        <w:rPr>
          <w:rFonts w:hint="eastAsia" w:ascii="宋体" w:hAnsi="宋体"/>
          <w:kern w:val="28"/>
          <w:szCs w:val="24"/>
        </w:rPr>
        <w:t>本次招标项目信息同时在</w:t>
      </w:r>
      <w:r>
        <w:rPr>
          <w:rFonts w:hint="eastAsia" w:ascii="宋体" w:hAnsi="宋体"/>
          <w:szCs w:val="21"/>
        </w:rPr>
        <w:t>广州工控集团官方网站采购平台（https://ips.giihg.com）及广重集团官方网站（https://www.gzhm.com）发布</w:t>
      </w:r>
      <w:r>
        <w:rPr>
          <w:rFonts w:hint="eastAsia" w:ascii="宋体" w:hAnsi="宋体"/>
          <w:kern w:val="28"/>
          <w:szCs w:val="24"/>
        </w:rPr>
        <w:t>。</w:t>
      </w:r>
    </w:p>
    <w:p w14:paraId="6B35D726">
      <w:pPr>
        <w:snapToGrid w:val="0"/>
        <w:spacing w:line="360" w:lineRule="auto"/>
        <w:rPr>
          <w:rFonts w:hint="eastAsia" w:ascii="宋体" w:hAnsi="宋体"/>
          <w:kern w:val="28"/>
        </w:rPr>
      </w:pPr>
    </w:p>
    <w:p w14:paraId="7B07C0EF">
      <w:pPr>
        <w:snapToGrid w:val="0"/>
        <w:spacing w:line="360" w:lineRule="auto"/>
        <w:rPr>
          <w:rFonts w:hint="eastAsia" w:ascii="宋体" w:hAnsi="宋体"/>
          <w:b/>
          <w:bCs/>
          <w:kern w:val="28"/>
        </w:rPr>
      </w:pPr>
      <w:r>
        <w:rPr>
          <w:rFonts w:hint="eastAsia" w:ascii="宋体" w:hAnsi="宋体"/>
          <w:b/>
          <w:bCs/>
          <w:kern w:val="28"/>
        </w:rPr>
        <w:t>六、有关联系事项：</w:t>
      </w:r>
    </w:p>
    <w:bookmarkEnd w:id="1"/>
    <w:p w14:paraId="710FBDE5">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招标人：广州广重企业集团有限公司</w:t>
      </w:r>
    </w:p>
    <w:p w14:paraId="5137AFEF">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工作联系人：顾先生，18529405588</w:t>
      </w:r>
    </w:p>
    <w:p w14:paraId="6EDB7083">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电子邮箱：</w:t>
      </w:r>
      <w:r>
        <w:fldChar w:fldCharType="begin"/>
      </w:r>
      <w:r>
        <w:instrText xml:space="preserve"> HYPERLINK "mailto:gudd@gzhm.com" </w:instrText>
      </w:r>
      <w:r>
        <w:fldChar w:fldCharType="separate"/>
      </w:r>
      <w:r>
        <w:rPr>
          <w:rFonts w:hint="eastAsia" w:ascii="宋体" w:hAnsi="宋体"/>
          <w:kern w:val="28"/>
          <w:sz w:val="21"/>
          <w:szCs w:val="24"/>
        </w:rPr>
        <w:t>gudd@gzhm.com</w:t>
      </w:r>
      <w:r>
        <w:rPr>
          <w:rFonts w:hint="eastAsia" w:ascii="宋体" w:hAnsi="宋体"/>
          <w:kern w:val="28"/>
          <w:sz w:val="21"/>
          <w:szCs w:val="24"/>
        </w:rPr>
        <w:fldChar w:fldCharType="end"/>
      </w:r>
    </w:p>
    <w:p w14:paraId="0D409545">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投标联系人：刘小姐，020-84539889</w:t>
      </w:r>
    </w:p>
    <w:p w14:paraId="2C9FDBC7">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联系地址：广州市番禺区石壁街道钟顺路626号</w:t>
      </w:r>
    </w:p>
    <w:p w14:paraId="77B7C2D0">
      <w:pPr>
        <w:pStyle w:val="20"/>
        <w:widowControl/>
        <w:shd w:val="clear" w:color="auto" w:fill="FFFFFF"/>
        <w:spacing w:before="150" w:beforeAutospacing="0" w:after="150" w:afterAutospacing="0" w:line="360" w:lineRule="auto"/>
        <w:ind w:firstLine="420" w:firstLineChars="200"/>
        <w:rPr>
          <w:rFonts w:hint="eastAsia" w:ascii="宋体" w:hAnsi="宋体"/>
          <w:kern w:val="28"/>
          <w:sz w:val="21"/>
          <w:szCs w:val="24"/>
        </w:rPr>
      </w:pPr>
      <w:r>
        <w:rPr>
          <w:rFonts w:hint="eastAsia" w:ascii="宋体" w:hAnsi="宋体"/>
          <w:kern w:val="28"/>
          <w:sz w:val="21"/>
          <w:szCs w:val="24"/>
        </w:rPr>
        <w:t>邮编：511400</w:t>
      </w:r>
    </w:p>
    <w:p w14:paraId="12EB58FE">
      <w:pPr>
        <w:snapToGrid w:val="0"/>
        <w:ind w:firstLine="480" w:firstLineChars="200"/>
        <w:rPr>
          <w:rFonts w:eastAsia="黑体"/>
          <w:b/>
          <w:sz w:val="44"/>
        </w:rPr>
      </w:pPr>
      <w:r>
        <w:rPr>
          <w:rFonts w:ascii="宋体" w:hAnsi="宋体"/>
          <w:sz w:val="24"/>
          <w:szCs w:val="24"/>
        </w:rPr>
        <w:br w:type="page"/>
      </w:r>
    </w:p>
    <w:p w14:paraId="191F2F06">
      <w:pPr>
        <w:spacing w:line="480" w:lineRule="exact"/>
        <w:jc w:val="center"/>
        <w:rPr>
          <w:rFonts w:eastAsia="黑体"/>
          <w:b/>
          <w:sz w:val="44"/>
        </w:rPr>
      </w:pPr>
    </w:p>
    <w:p w14:paraId="2974245B">
      <w:pPr>
        <w:spacing w:line="480" w:lineRule="exact"/>
        <w:jc w:val="center"/>
        <w:rPr>
          <w:rFonts w:eastAsia="黑体"/>
          <w:b/>
          <w:sz w:val="44"/>
        </w:rPr>
      </w:pPr>
    </w:p>
    <w:p w14:paraId="28AEBC00">
      <w:pPr>
        <w:spacing w:line="480" w:lineRule="exact"/>
        <w:jc w:val="center"/>
        <w:rPr>
          <w:rFonts w:eastAsia="黑体"/>
          <w:b/>
          <w:sz w:val="44"/>
        </w:rPr>
      </w:pPr>
    </w:p>
    <w:p w14:paraId="7AC6C014">
      <w:pPr>
        <w:spacing w:line="480" w:lineRule="exact"/>
        <w:jc w:val="center"/>
        <w:rPr>
          <w:rFonts w:eastAsia="黑体"/>
          <w:b/>
          <w:sz w:val="44"/>
        </w:rPr>
      </w:pPr>
    </w:p>
    <w:p w14:paraId="10AD8DAF">
      <w:pPr>
        <w:spacing w:line="480" w:lineRule="exact"/>
        <w:jc w:val="center"/>
        <w:rPr>
          <w:rFonts w:eastAsia="黑体"/>
          <w:b/>
          <w:sz w:val="44"/>
        </w:rPr>
      </w:pPr>
    </w:p>
    <w:p w14:paraId="7DF670C9">
      <w:pPr>
        <w:spacing w:line="480" w:lineRule="exact"/>
        <w:jc w:val="center"/>
        <w:rPr>
          <w:rFonts w:eastAsia="黑体"/>
          <w:b/>
          <w:sz w:val="44"/>
        </w:rPr>
      </w:pPr>
    </w:p>
    <w:p w14:paraId="248E6676">
      <w:pPr>
        <w:spacing w:line="480" w:lineRule="exact"/>
        <w:jc w:val="center"/>
        <w:rPr>
          <w:rFonts w:eastAsia="黑体"/>
          <w:b/>
          <w:sz w:val="44"/>
        </w:rPr>
      </w:pPr>
    </w:p>
    <w:p w14:paraId="15735D74">
      <w:pPr>
        <w:spacing w:line="480" w:lineRule="exact"/>
        <w:jc w:val="center"/>
        <w:rPr>
          <w:rFonts w:eastAsia="黑体"/>
          <w:b/>
          <w:sz w:val="44"/>
        </w:rPr>
      </w:pPr>
    </w:p>
    <w:p w14:paraId="5483E8F9">
      <w:pPr>
        <w:spacing w:line="480" w:lineRule="exact"/>
        <w:jc w:val="center"/>
        <w:rPr>
          <w:rFonts w:eastAsia="黑体"/>
          <w:b/>
          <w:sz w:val="44"/>
        </w:rPr>
      </w:pPr>
    </w:p>
    <w:p w14:paraId="0C2C3C1A">
      <w:pPr>
        <w:spacing w:line="480" w:lineRule="exact"/>
        <w:jc w:val="center"/>
        <w:rPr>
          <w:rFonts w:eastAsia="黑体"/>
          <w:b/>
          <w:sz w:val="44"/>
        </w:rPr>
      </w:pPr>
    </w:p>
    <w:p w14:paraId="4DB2B155">
      <w:pPr>
        <w:spacing w:line="480" w:lineRule="exact"/>
        <w:jc w:val="center"/>
        <w:rPr>
          <w:rFonts w:eastAsia="黑体"/>
          <w:b/>
          <w:sz w:val="44"/>
        </w:rPr>
      </w:pPr>
    </w:p>
    <w:p w14:paraId="67897035">
      <w:pPr>
        <w:spacing w:line="480" w:lineRule="exact"/>
        <w:jc w:val="center"/>
        <w:rPr>
          <w:rFonts w:eastAsia="黑体"/>
          <w:b/>
          <w:sz w:val="44"/>
        </w:rPr>
      </w:pPr>
    </w:p>
    <w:p w14:paraId="239B1D44">
      <w:pPr>
        <w:spacing w:line="480" w:lineRule="exact"/>
        <w:jc w:val="center"/>
        <w:outlineLvl w:val="0"/>
        <w:rPr>
          <w:rFonts w:eastAsia="黑体"/>
          <w:b/>
          <w:sz w:val="44"/>
        </w:rPr>
      </w:pPr>
      <w:r>
        <w:rPr>
          <w:rFonts w:hint="eastAsia" w:eastAsia="黑体"/>
          <w:b/>
          <w:sz w:val="44"/>
        </w:rPr>
        <w:t xml:space="preserve">第二部分 </w:t>
      </w:r>
      <w:r>
        <w:rPr>
          <w:rFonts w:eastAsia="黑体"/>
          <w:b/>
          <w:sz w:val="44"/>
        </w:rPr>
        <w:t xml:space="preserve"> </w:t>
      </w:r>
      <w:r>
        <w:rPr>
          <w:rFonts w:hint="eastAsia" w:eastAsia="黑体"/>
          <w:b/>
          <w:sz w:val="44"/>
        </w:rPr>
        <w:t>用户需求书</w:t>
      </w:r>
    </w:p>
    <w:p w14:paraId="6F8CD0FB">
      <w:pPr>
        <w:wordWrap w:val="0"/>
        <w:spacing w:line="360" w:lineRule="auto"/>
        <w:jc w:val="right"/>
        <w:rPr>
          <w:kern w:val="28"/>
        </w:rPr>
      </w:pPr>
    </w:p>
    <w:p w14:paraId="3FE8F629">
      <w:pPr>
        <w:snapToGrid w:val="0"/>
        <w:spacing w:line="360" w:lineRule="auto"/>
        <w:jc w:val="center"/>
        <w:rPr>
          <w:rFonts w:hint="eastAsia" w:ascii="黑体" w:hAnsi="黑体" w:eastAsia="黑体"/>
          <w:b/>
          <w:sz w:val="44"/>
          <w:szCs w:val="44"/>
        </w:rPr>
      </w:pPr>
      <w:r>
        <w:rPr>
          <w:sz w:val="24"/>
          <w:szCs w:val="24"/>
        </w:rPr>
        <w:br w:type="page"/>
      </w:r>
      <w:bookmarkStart w:id="2" w:name="_Toc331422834"/>
      <w:bookmarkStart w:id="3" w:name="_Toc331148732"/>
      <w:bookmarkStart w:id="4" w:name="_Toc331411630"/>
      <w:bookmarkStart w:id="5" w:name="_Toc25080"/>
      <w:bookmarkStart w:id="6" w:name="_Toc461445761"/>
      <w:r>
        <w:rPr>
          <w:rFonts w:hint="eastAsia" w:ascii="黑体" w:hAnsi="黑体" w:eastAsia="黑体"/>
          <w:b/>
          <w:sz w:val="44"/>
          <w:szCs w:val="44"/>
        </w:rPr>
        <w:t>用 户 需 求 书</w:t>
      </w:r>
    </w:p>
    <w:p w14:paraId="24452646"/>
    <w:p w14:paraId="79D64328">
      <w:pPr>
        <w:snapToGrid w:val="0"/>
        <w:spacing w:line="360" w:lineRule="auto"/>
        <w:rPr>
          <w:rFonts w:hint="eastAsia" w:ascii="宋体" w:hAnsi="宋体"/>
          <w:b/>
          <w:szCs w:val="24"/>
        </w:rPr>
      </w:pPr>
      <w:r>
        <w:rPr>
          <w:rFonts w:hint="eastAsia" w:ascii="宋体" w:hAnsi="宋体"/>
          <w:b/>
          <w:szCs w:val="24"/>
        </w:rPr>
        <w:t>说明：</w:t>
      </w:r>
    </w:p>
    <w:p w14:paraId="00A5C77C">
      <w:pPr>
        <w:snapToGrid w:val="0"/>
        <w:spacing w:line="360" w:lineRule="auto"/>
        <w:ind w:firstLine="420" w:firstLineChars="200"/>
        <w:rPr>
          <w:rFonts w:hint="eastAsia" w:ascii="宋体" w:hAnsi="宋体"/>
          <w:b/>
          <w:bCs/>
          <w:szCs w:val="24"/>
        </w:rPr>
      </w:pPr>
      <w:r>
        <w:rPr>
          <w:rFonts w:hint="eastAsia" w:ascii="宋体" w:hAnsi="宋体"/>
          <w:szCs w:val="24"/>
        </w:rPr>
        <w:t xml:space="preserve">1. </w:t>
      </w:r>
      <w:r>
        <w:rPr>
          <w:rFonts w:hint="eastAsia" w:ascii="宋体" w:hAnsi="宋体"/>
          <w:b/>
          <w:bCs/>
          <w:szCs w:val="24"/>
        </w:rPr>
        <w:t>招标文件中凡标有“★”的条款为关键性指标或要求，投标人须对此响应并完全满足这些要求。否则，若有一项带“★”的条款未响应或不满足，则按无效投标处理。</w:t>
      </w:r>
    </w:p>
    <w:p w14:paraId="1DFB264D">
      <w:pPr>
        <w:snapToGrid w:val="0"/>
        <w:spacing w:line="360" w:lineRule="auto"/>
        <w:ind w:firstLine="420" w:firstLineChars="200"/>
        <w:rPr>
          <w:rFonts w:hint="eastAsia" w:ascii="宋体" w:hAnsi="宋体"/>
          <w:szCs w:val="24"/>
        </w:rPr>
      </w:pPr>
      <w:r>
        <w:rPr>
          <w:rFonts w:ascii="宋体" w:hAnsi="宋体"/>
          <w:szCs w:val="24"/>
        </w:rPr>
        <w:t xml:space="preserve">2. </w:t>
      </w:r>
      <w:r>
        <w:rPr>
          <w:rFonts w:hint="eastAsia" w:ascii="宋体" w:hAnsi="宋体"/>
          <w:b/>
          <w:bCs/>
          <w:szCs w:val="24"/>
        </w:rPr>
        <w:t>招标文件中凡标有“▲”的条款为比较重要的商务、技术指标，未达到这些指标要求的将严重影响评分。</w:t>
      </w:r>
    </w:p>
    <w:p w14:paraId="44A446E5">
      <w:pPr>
        <w:snapToGrid w:val="0"/>
        <w:spacing w:line="360" w:lineRule="auto"/>
        <w:ind w:firstLine="420" w:firstLineChars="200"/>
        <w:rPr>
          <w:rFonts w:hint="eastAsia" w:ascii="宋体" w:hAnsi="宋体"/>
          <w:szCs w:val="24"/>
        </w:rPr>
      </w:pPr>
      <w:r>
        <w:rPr>
          <w:rFonts w:ascii="宋体" w:hAnsi="宋体"/>
          <w:szCs w:val="24"/>
        </w:rPr>
        <w:t xml:space="preserve">3. </w:t>
      </w:r>
      <w:r>
        <w:rPr>
          <w:rFonts w:hint="eastAsia" w:ascii="宋体" w:hAnsi="宋体"/>
          <w:szCs w:val="24"/>
        </w:rPr>
        <w:t>如果投标人投标阶段没有以书面对本需求书的条文提出差异表，则招标人认为投标人提出的服务应完全符合本规范书的要求。</w:t>
      </w:r>
    </w:p>
    <w:p w14:paraId="1E4CBDBB">
      <w:pPr>
        <w:snapToGrid w:val="0"/>
        <w:spacing w:line="360" w:lineRule="auto"/>
        <w:ind w:firstLine="420" w:firstLineChars="200"/>
        <w:rPr>
          <w:rFonts w:hint="eastAsia" w:ascii="宋体" w:hAnsi="宋体"/>
          <w:szCs w:val="24"/>
        </w:rPr>
      </w:pPr>
      <w:r>
        <w:rPr>
          <w:rFonts w:ascii="宋体" w:hAnsi="宋体"/>
          <w:szCs w:val="24"/>
        </w:rPr>
        <w:t xml:space="preserve">4. </w:t>
      </w:r>
      <w:r>
        <w:rPr>
          <w:rFonts w:hint="eastAsia" w:ascii="宋体" w:hAnsi="宋体"/>
          <w:szCs w:val="24"/>
        </w:rPr>
        <w:t>本需求书所使用的标准如遇与投标人所执行的标准发生矛盾时，按较高标准执行，如有最新标准，则按最新标准执行。</w:t>
      </w:r>
    </w:p>
    <w:p w14:paraId="53DC8A4B">
      <w:pPr>
        <w:snapToGrid w:val="0"/>
        <w:spacing w:line="360" w:lineRule="auto"/>
        <w:rPr>
          <w:rFonts w:hint="eastAsia" w:ascii="宋体" w:hAnsi="宋体"/>
          <w:b/>
          <w:bCs/>
          <w:sz w:val="24"/>
          <w:szCs w:val="24"/>
        </w:rPr>
      </w:pPr>
    </w:p>
    <w:bookmarkEnd w:id="2"/>
    <w:bookmarkEnd w:id="3"/>
    <w:bookmarkEnd w:id="4"/>
    <w:bookmarkEnd w:id="5"/>
    <w:bookmarkEnd w:id="6"/>
    <w:p w14:paraId="39852826">
      <w:pPr>
        <w:pStyle w:val="4"/>
        <w:numPr>
          <w:ilvl w:val="0"/>
          <w:numId w:val="1"/>
        </w:numPr>
        <w:rPr>
          <w:rFonts w:hint="eastAsia"/>
        </w:rPr>
      </w:pPr>
      <w:r>
        <w:rPr>
          <w:rFonts w:hint="eastAsia"/>
        </w:rPr>
        <w:t>项目概况</w:t>
      </w:r>
    </w:p>
    <w:p w14:paraId="12F28610">
      <w:pPr>
        <w:widowControl/>
        <w:numPr>
          <w:ilvl w:val="1"/>
          <w:numId w:val="2"/>
        </w:numPr>
        <w:tabs>
          <w:tab w:val="left" w:pos="426"/>
        </w:tabs>
        <w:adjustRightInd w:val="0"/>
        <w:snapToGrid w:val="0"/>
        <w:spacing w:line="360" w:lineRule="auto"/>
        <w:ind w:left="0" w:firstLine="0"/>
        <w:jc w:val="left"/>
        <w:rPr>
          <w:rFonts w:hint="eastAsia" w:ascii="宋体" w:hAnsi="宋体" w:cs="宋体"/>
          <w:szCs w:val="21"/>
        </w:rPr>
      </w:pPr>
      <w:r>
        <w:rPr>
          <w:rFonts w:hint="eastAsia" w:ascii="宋体" w:hAnsi="宋体" w:cs="宋体"/>
          <w:szCs w:val="21"/>
        </w:rPr>
        <w:t>本项目为</w:t>
      </w:r>
      <w:r>
        <w:rPr>
          <w:rFonts w:hint="eastAsia" w:ascii="宋体" w:hAnsi="宋体"/>
          <w:szCs w:val="24"/>
        </w:rPr>
        <w:t>广州工控大湾区现代高端装备研发生产基地项目（三期）办公家具采购项目，</w:t>
      </w:r>
      <w:r>
        <w:rPr>
          <w:rFonts w:hint="eastAsia" w:ascii="宋体" w:hAnsi="宋体" w:cs="宋体"/>
          <w:szCs w:val="21"/>
        </w:rPr>
        <w:t>具体数量详见项目清单。</w:t>
      </w:r>
    </w:p>
    <w:p w14:paraId="20427C71">
      <w:pPr>
        <w:widowControl/>
        <w:numPr>
          <w:ilvl w:val="1"/>
          <w:numId w:val="2"/>
        </w:numPr>
        <w:tabs>
          <w:tab w:val="left" w:pos="426"/>
        </w:tabs>
        <w:adjustRightInd w:val="0"/>
        <w:snapToGrid w:val="0"/>
        <w:spacing w:line="360" w:lineRule="auto"/>
        <w:ind w:left="0" w:firstLine="0"/>
        <w:jc w:val="left"/>
        <w:rPr>
          <w:rFonts w:hint="eastAsia" w:ascii="宋体" w:hAnsi="宋体" w:cs="宋体"/>
          <w:szCs w:val="21"/>
        </w:rPr>
      </w:pPr>
      <w:r>
        <w:rPr>
          <w:rFonts w:hint="eastAsia" w:ascii="宋体" w:hAnsi="宋体" w:cs="宋体"/>
          <w:szCs w:val="21"/>
        </w:rPr>
        <w:t>项目地点：</w:t>
      </w:r>
      <w:r>
        <w:rPr>
          <w:rFonts w:hint="eastAsia" w:ascii="宋体" w:hAnsi="宋体"/>
          <w:szCs w:val="24"/>
        </w:rPr>
        <w:t>广东省广州市南沙区大岗镇潭新公路362号</w:t>
      </w:r>
      <w:r>
        <w:rPr>
          <w:rFonts w:hint="eastAsia" w:ascii="宋体" w:hAnsi="宋体" w:cs="宋体"/>
          <w:szCs w:val="21"/>
        </w:rPr>
        <w:t>。</w:t>
      </w:r>
    </w:p>
    <w:p w14:paraId="1E0D354E">
      <w:pPr>
        <w:widowControl/>
        <w:numPr>
          <w:ilvl w:val="1"/>
          <w:numId w:val="2"/>
        </w:numPr>
        <w:tabs>
          <w:tab w:val="left" w:pos="426"/>
        </w:tabs>
        <w:adjustRightInd w:val="0"/>
        <w:snapToGrid w:val="0"/>
        <w:spacing w:line="360" w:lineRule="auto"/>
        <w:ind w:left="0" w:firstLine="0"/>
        <w:jc w:val="left"/>
        <w:rPr>
          <w:rFonts w:hint="eastAsia" w:ascii="宋体" w:hAnsi="宋体" w:cs="宋体"/>
          <w:szCs w:val="21"/>
        </w:rPr>
      </w:pPr>
      <w:bookmarkStart w:id="7" w:name="_Hlk202190758"/>
      <w:r>
        <w:rPr>
          <w:rFonts w:hint="eastAsia" w:ascii="宋体" w:hAnsi="宋体" w:cs="宋体"/>
          <w:b/>
          <w:szCs w:val="21"/>
        </w:rPr>
        <w:t>本项目总工期为合同签订后</w:t>
      </w:r>
      <w:r>
        <w:rPr>
          <w:rFonts w:hint="eastAsia" w:ascii="宋体" w:hAnsi="宋体" w:cs="宋体"/>
          <w:b/>
          <w:szCs w:val="21"/>
          <w:u w:val="single"/>
        </w:rPr>
        <w:t>30</w:t>
      </w:r>
      <w:r>
        <w:rPr>
          <w:rFonts w:hint="eastAsia" w:ascii="宋体" w:hAnsi="宋体" w:cs="宋体"/>
          <w:b/>
          <w:szCs w:val="21"/>
        </w:rPr>
        <w:t>天，</w:t>
      </w:r>
      <w:bookmarkEnd w:id="7"/>
      <w:r>
        <w:rPr>
          <w:rFonts w:hint="eastAsia" w:ascii="宋体" w:hAnsi="宋体" w:cs="宋体"/>
          <w:szCs w:val="21"/>
        </w:rPr>
        <w:t>中标人须采取一切有效措施保证，不得延误。同时，中标人须按照招标人最终确认的家具品种、款式、数量和交货计划进行生产和供货。对于实际交货期的起止时间，招标人有权根据实际项目需要作相应调整，投标人应考虑相关风险并尽一切可能配合招标人调整相应的执行计划，并不得以交货期起止时间变动为由要求调整合同价格。</w:t>
      </w:r>
    </w:p>
    <w:p w14:paraId="1802ADE3">
      <w:pPr>
        <w:snapToGrid w:val="0"/>
        <w:spacing w:line="360" w:lineRule="auto"/>
        <w:rPr>
          <w:rFonts w:hint="eastAsia" w:ascii="宋体" w:hAnsi="宋体"/>
          <w:kern w:val="28"/>
        </w:rPr>
      </w:pPr>
      <w:r>
        <w:rPr>
          <w:rFonts w:hint="eastAsia" w:ascii="宋体" w:hAnsi="宋体" w:cs="宋体"/>
          <w:szCs w:val="21"/>
        </w:rPr>
        <w:t>本项目合计最高限价：</w:t>
      </w:r>
      <w:r>
        <w:rPr>
          <w:rFonts w:hint="eastAsia" w:ascii="宋体" w:hAnsi="宋体"/>
          <w:kern w:val="28"/>
        </w:rPr>
        <w:t>：子项一（公共区域办公家具）最高限价35万元（大写：叁拾伍万元整），子项二（广重集团办公家具）最高限价165万元（大写：壹佰陆拾伍万元整），合计最高限价200万元（大写：贰百万元整）。</w:t>
      </w:r>
    </w:p>
    <w:p w14:paraId="0D4D1FF0">
      <w:pPr>
        <w:snapToGrid w:val="0"/>
        <w:spacing w:line="360" w:lineRule="auto"/>
        <w:rPr>
          <w:rFonts w:hint="eastAsia" w:ascii="宋体" w:hAnsi="宋体"/>
          <w:kern w:val="28"/>
        </w:rPr>
      </w:pPr>
      <w:r>
        <w:rPr>
          <w:rFonts w:hint="eastAsia" w:ascii="宋体" w:hAnsi="宋体"/>
          <w:kern w:val="28"/>
        </w:rPr>
        <w:t>报价要求：投标人可选择对其中一个或两个子项分开报价，投标价不得超出子项最高限价，否则其投标文件将被否决。</w:t>
      </w:r>
    </w:p>
    <w:p w14:paraId="7C6D7784">
      <w:pPr>
        <w:adjustRightInd w:val="0"/>
        <w:snapToGrid w:val="0"/>
        <w:spacing w:line="360" w:lineRule="auto"/>
        <w:jc w:val="left"/>
        <w:rPr>
          <w:rFonts w:hint="eastAsia" w:ascii="宋体" w:hAnsi="宋体" w:cs="宋体"/>
          <w:b/>
          <w:szCs w:val="21"/>
        </w:rPr>
      </w:pPr>
    </w:p>
    <w:p w14:paraId="60848E3E">
      <w:pPr>
        <w:pStyle w:val="4"/>
        <w:numPr>
          <w:ilvl w:val="0"/>
          <w:numId w:val="1"/>
        </w:numPr>
        <w:rPr>
          <w:rFonts w:hint="eastAsia"/>
        </w:rPr>
      </w:pPr>
      <w:r>
        <w:rPr>
          <w:rFonts w:hint="eastAsia"/>
        </w:rPr>
        <w:t>中标人工作基本要求</w:t>
      </w:r>
    </w:p>
    <w:p w14:paraId="24BED1C1">
      <w:pPr>
        <w:numPr>
          <w:ilvl w:val="1"/>
          <w:numId w:val="0"/>
        </w:numPr>
        <w:tabs>
          <w:tab w:val="left" w:pos="426"/>
        </w:tabs>
        <w:adjustRightInd w:val="0"/>
        <w:snapToGrid w:val="0"/>
        <w:spacing w:line="360" w:lineRule="auto"/>
        <w:jc w:val="left"/>
        <w:rPr>
          <w:rFonts w:hint="eastAsia" w:ascii="宋体" w:hAnsi="宋体" w:cs="宋体"/>
          <w:b/>
          <w:bCs/>
          <w:kern w:val="0"/>
          <w:szCs w:val="21"/>
        </w:rPr>
      </w:pPr>
      <w:bookmarkStart w:id="8" w:name="OLE_LINK139"/>
      <w:bookmarkStart w:id="9" w:name="OLE_LINK138"/>
      <w:bookmarkStart w:id="10" w:name="OLE_LINK49"/>
      <w:bookmarkStart w:id="11" w:name="OLE_LINK50"/>
      <w:r>
        <w:rPr>
          <w:rFonts w:ascii="宋体" w:hAnsi="宋体" w:cs="宋体"/>
          <w:bCs/>
          <w:kern w:val="0"/>
          <w:szCs w:val="21"/>
        </w:rPr>
        <w:t>1、</w:t>
      </w:r>
      <w:r>
        <w:rPr>
          <w:rFonts w:hint="eastAsia" w:ascii="宋体" w:hAnsi="宋体" w:cs="宋体"/>
          <w:b/>
          <w:bCs/>
          <w:kern w:val="0"/>
          <w:szCs w:val="21"/>
        </w:rPr>
        <w:t>★</w:t>
      </w:r>
      <w:bookmarkEnd w:id="8"/>
      <w:bookmarkEnd w:id="9"/>
      <w:bookmarkStart w:id="12" w:name="OLE_LINK137"/>
      <w:bookmarkStart w:id="13" w:name="OLE_LINK136"/>
      <w:r>
        <w:rPr>
          <w:rFonts w:hint="eastAsia" w:ascii="宋体" w:hAnsi="宋体" w:cs="宋体"/>
          <w:b/>
          <w:bCs/>
          <w:kern w:val="0"/>
          <w:szCs w:val="21"/>
        </w:rPr>
        <w:t>中标人在家具成品制作完成后，招标人有权将指定的成品家具交由招标人独立委托的第三方检测机构进行抽样检测并合格（如需破坏性试验，实验结果为合格，由招标人承担家具破损费用；实验结果为不合格，由中标人承担家具破损费用）。</w:t>
      </w:r>
      <w:bookmarkEnd w:id="12"/>
      <w:bookmarkEnd w:id="13"/>
      <w:r>
        <w:rPr>
          <w:rFonts w:hint="eastAsia" w:ascii="宋体" w:hAnsi="宋体" w:cs="宋体"/>
          <w:b/>
          <w:bCs/>
          <w:kern w:val="0"/>
          <w:szCs w:val="21"/>
        </w:rPr>
        <w:t>（格式详见“第六部分</w:t>
      </w:r>
      <w:r>
        <w:rPr>
          <w:rFonts w:ascii="宋体" w:hAnsi="宋体" w:cs="宋体"/>
          <w:b/>
          <w:bCs/>
          <w:kern w:val="0"/>
          <w:szCs w:val="21"/>
        </w:rPr>
        <w:t xml:space="preserve"> </w:t>
      </w:r>
      <w:r>
        <w:rPr>
          <w:rFonts w:hint="eastAsia" w:ascii="宋体" w:hAnsi="宋体" w:cs="宋体"/>
          <w:b/>
          <w:bCs/>
          <w:kern w:val="0"/>
          <w:szCs w:val="21"/>
        </w:rPr>
        <w:t>投标文件格式”《3.5 投标承诺书》）</w:t>
      </w:r>
    </w:p>
    <w:p w14:paraId="1C6DB627">
      <w:pPr>
        <w:numPr>
          <w:ilvl w:val="1"/>
          <w:numId w:val="0"/>
        </w:numPr>
        <w:tabs>
          <w:tab w:val="left" w:pos="426"/>
        </w:tabs>
        <w:adjustRightInd w:val="0"/>
        <w:snapToGrid w:val="0"/>
        <w:spacing w:line="360" w:lineRule="auto"/>
        <w:jc w:val="left"/>
        <w:rPr>
          <w:rFonts w:hint="eastAsia" w:ascii="宋体" w:hAnsi="宋体" w:cs="宋体"/>
          <w:kern w:val="0"/>
          <w:szCs w:val="21"/>
        </w:rPr>
      </w:pPr>
      <w:r>
        <w:rPr>
          <w:rFonts w:ascii="宋体" w:hAnsi="宋体" w:cs="宋体"/>
          <w:kern w:val="0"/>
          <w:szCs w:val="21"/>
        </w:rPr>
        <w:t>2、</w:t>
      </w:r>
      <w:r>
        <w:rPr>
          <w:rFonts w:hint="eastAsia" w:ascii="宋体" w:hAnsi="宋体" w:cs="宋体"/>
          <w:b/>
          <w:bCs/>
          <w:kern w:val="0"/>
          <w:szCs w:val="21"/>
        </w:rPr>
        <w:t>★合同签订后</w:t>
      </w:r>
      <w:r>
        <w:rPr>
          <w:rFonts w:hint="eastAsia" w:ascii="宋体" w:hAnsi="宋体" w:cs="宋体"/>
          <w:b/>
          <w:kern w:val="0"/>
          <w:szCs w:val="21"/>
        </w:rPr>
        <w:t>中标人负责家具工艺及具体尺寸的深化，按深化设计要求订制加工家具产品，生产过程中的品质监督。在生产家具前，必须先提供材料及成品样板（除另外说明的）给招标人，待确认后才进行订购或生产。</w:t>
      </w:r>
      <w:r>
        <w:rPr>
          <w:rFonts w:hint="eastAsia" w:hAnsi="宋体" w:cs="宋体"/>
          <w:b/>
          <w:szCs w:val="24"/>
        </w:rPr>
        <w:t>（格式详见“第六部分</w:t>
      </w:r>
      <w:r>
        <w:rPr>
          <w:rFonts w:hAnsi="宋体" w:cs="宋体"/>
          <w:b/>
          <w:szCs w:val="24"/>
        </w:rPr>
        <w:t xml:space="preserve"> </w:t>
      </w:r>
      <w:r>
        <w:rPr>
          <w:rFonts w:hint="eastAsia" w:hAnsi="宋体" w:cs="宋体"/>
          <w:b/>
          <w:szCs w:val="24"/>
        </w:rPr>
        <w:t>投标文件格式”《3.5 投标承诺书》）</w:t>
      </w:r>
    </w:p>
    <w:p w14:paraId="2DFE8A4F">
      <w:pPr>
        <w:numPr>
          <w:ilvl w:val="1"/>
          <w:numId w:val="0"/>
        </w:numPr>
        <w:tabs>
          <w:tab w:val="left" w:pos="426"/>
        </w:tabs>
        <w:adjustRightInd w:val="0"/>
        <w:snapToGrid w:val="0"/>
        <w:spacing w:line="360" w:lineRule="auto"/>
        <w:jc w:val="left"/>
        <w:rPr>
          <w:rFonts w:hint="eastAsia" w:ascii="宋体" w:hAnsi="宋体" w:cs="宋体"/>
          <w:bCs/>
          <w:kern w:val="0"/>
          <w:szCs w:val="21"/>
        </w:rPr>
      </w:pPr>
      <w:r>
        <w:rPr>
          <w:rFonts w:ascii="宋体" w:hAnsi="宋体" w:cs="宋体"/>
          <w:bCs/>
          <w:kern w:val="0"/>
          <w:szCs w:val="21"/>
        </w:rPr>
        <w:t>3、</w:t>
      </w:r>
      <w:r>
        <w:rPr>
          <w:rFonts w:hint="eastAsia" w:ascii="宋体" w:hAnsi="宋体" w:cs="宋体"/>
          <w:bCs/>
          <w:kern w:val="0"/>
          <w:szCs w:val="21"/>
        </w:rPr>
        <w:t>中标人应清楚了解本项目家具采购报价清单内家具的规格参数及其他技术要求，与招标人及时确认办公家具布局情况。</w:t>
      </w:r>
    </w:p>
    <w:p w14:paraId="50ECC383">
      <w:pPr>
        <w:numPr>
          <w:ilvl w:val="1"/>
          <w:numId w:val="0"/>
        </w:numPr>
        <w:tabs>
          <w:tab w:val="left" w:pos="426"/>
        </w:tabs>
        <w:adjustRightInd w:val="0"/>
        <w:snapToGrid w:val="0"/>
        <w:spacing w:line="360" w:lineRule="auto"/>
        <w:jc w:val="left"/>
        <w:rPr>
          <w:rFonts w:hint="eastAsia" w:ascii="宋体" w:hAnsi="宋体" w:cs="宋体"/>
          <w:bCs/>
          <w:kern w:val="0"/>
          <w:szCs w:val="21"/>
        </w:rPr>
      </w:pPr>
      <w:r>
        <w:rPr>
          <w:rFonts w:ascii="宋体" w:hAnsi="宋体" w:cs="宋体"/>
          <w:bCs/>
          <w:kern w:val="0"/>
          <w:szCs w:val="21"/>
        </w:rPr>
        <w:t>4、</w:t>
      </w:r>
      <w:r>
        <w:rPr>
          <w:rFonts w:hint="eastAsia" w:ascii="宋体" w:hAnsi="宋体" w:cs="宋体"/>
          <w:bCs/>
          <w:kern w:val="0"/>
          <w:szCs w:val="21"/>
        </w:rPr>
        <w:t>按清单内容及现场考察情况统计完善所需家具的完整数据，并向招标人确认。</w:t>
      </w:r>
    </w:p>
    <w:p w14:paraId="04AA427B">
      <w:pPr>
        <w:numPr>
          <w:ilvl w:val="1"/>
          <w:numId w:val="0"/>
        </w:numPr>
        <w:tabs>
          <w:tab w:val="left" w:pos="426"/>
        </w:tabs>
        <w:adjustRightInd w:val="0"/>
        <w:snapToGrid w:val="0"/>
        <w:spacing w:line="360" w:lineRule="auto"/>
        <w:jc w:val="left"/>
        <w:rPr>
          <w:rFonts w:hint="eastAsia" w:ascii="宋体" w:hAnsi="宋体" w:cs="宋体"/>
          <w:bCs/>
          <w:kern w:val="0"/>
          <w:szCs w:val="21"/>
        </w:rPr>
      </w:pPr>
      <w:r>
        <w:rPr>
          <w:rFonts w:ascii="宋体" w:hAnsi="宋体" w:cs="宋体"/>
          <w:bCs/>
          <w:kern w:val="0"/>
          <w:szCs w:val="21"/>
        </w:rPr>
        <w:t>5、</w:t>
      </w:r>
      <w:r>
        <w:rPr>
          <w:rFonts w:hint="eastAsia" w:ascii="宋体" w:hAnsi="宋体" w:cs="宋体"/>
          <w:bCs/>
          <w:kern w:val="0"/>
          <w:szCs w:val="21"/>
        </w:rPr>
        <w:t>中标人应了解及协调现宿舍硬装情况，以便本次采购家具进场摆设能顺利进行。</w:t>
      </w:r>
    </w:p>
    <w:bookmarkEnd w:id="10"/>
    <w:bookmarkEnd w:id="11"/>
    <w:p w14:paraId="3BECBA2A">
      <w:pPr>
        <w:numPr>
          <w:ilvl w:val="1"/>
          <w:numId w:val="0"/>
        </w:numPr>
        <w:tabs>
          <w:tab w:val="left" w:pos="426"/>
        </w:tabs>
        <w:adjustRightInd w:val="0"/>
        <w:snapToGrid w:val="0"/>
        <w:spacing w:line="360" w:lineRule="auto"/>
        <w:jc w:val="left"/>
        <w:rPr>
          <w:rFonts w:hint="eastAsia" w:ascii="宋体" w:hAnsi="宋体" w:cs="宋体"/>
          <w:kern w:val="0"/>
          <w:szCs w:val="21"/>
        </w:rPr>
      </w:pPr>
      <w:r>
        <w:rPr>
          <w:rFonts w:ascii="宋体" w:hAnsi="宋体" w:cs="宋体"/>
          <w:kern w:val="0"/>
          <w:szCs w:val="21"/>
        </w:rPr>
        <w:t>6、</w:t>
      </w:r>
      <w:r>
        <w:rPr>
          <w:rFonts w:hint="eastAsia" w:ascii="宋体" w:hAnsi="宋体" w:cs="宋体"/>
          <w:kern w:val="0"/>
          <w:szCs w:val="21"/>
        </w:rPr>
        <w:t>拼装型家具的现场组装，需按招标人要求的质量、供货周期和供货数量提供优良的家具产品。</w:t>
      </w:r>
    </w:p>
    <w:p w14:paraId="5E45E536">
      <w:pPr>
        <w:numPr>
          <w:ilvl w:val="1"/>
          <w:numId w:val="0"/>
        </w:numPr>
        <w:tabs>
          <w:tab w:val="left" w:pos="426"/>
        </w:tabs>
        <w:adjustRightInd w:val="0"/>
        <w:snapToGrid w:val="0"/>
        <w:spacing w:line="360" w:lineRule="auto"/>
        <w:jc w:val="left"/>
        <w:rPr>
          <w:rFonts w:hint="eastAsia" w:ascii="宋体" w:hAnsi="宋体" w:cs="宋体"/>
          <w:kern w:val="0"/>
          <w:szCs w:val="21"/>
        </w:rPr>
      </w:pPr>
      <w:r>
        <w:rPr>
          <w:rFonts w:ascii="宋体" w:hAnsi="宋体" w:cs="宋体"/>
          <w:kern w:val="0"/>
          <w:szCs w:val="21"/>
        </w:rPr>
        <w:t>7、</w:t>
      </w:r>
      <w:r>
        <w:rPr>
          <w:rFonts w:hint="eastAsia" w:ascii="宋体" w:hAnsi="宋体" w:cs="宋体"/>
          <w:kern w:val="0"/>
          <w:szCs w:val="21"/>
        </w:rPr>
        <w:t>中标人未能根据用户需求清单说明的设计要求，必须提前提交相等质量和设计要求的选择予招标人审批。</w:t>
      </w:r>
    </w:p>
    <w:p w14:paraId="19A343A0">
      <w:pPr>
        <w:numPr>
          <w:ilvl w:val="1"/>
          <w:numId w:val="0"/>
        </w:numPr>
        <w:tabs>
          <w:tab w:val="left" w:pos="426"/>
        </w:tabs>
        <w:adjustRightInd w:val="0"/>
        <w:snapToGrid w:val="0"/>
        <w:spacing w:line="360" w:lineRule="auto"/>
        <w:jc w:val="left"/>
        <w:rPr>
          <w:rFonts w:hint="eastAsia" w:ascii="宋体" w:hAnsi="宋体" w:cs="宋体"/>
          <w:kern w:val="0"/>
          <w:szCs w:val="21"/>
        </w:rPr>
      </w:pPr>
      <w:r>
        <w:rPr>
          <w:rFonts w:ascii="宋体" w:hAnsi="宋体" w:cs="宋体"/>
          <w:kern w:val="0"/>
          <w:szCs w:val="21"/>
        </w:rPr>
        <w:t>8、</w:t>
      </w:r>
      <w:r>
        <w:rPr>
          <w:rFonts w:hint="eastAsia" w:ascii="宋体" w:hAnsi="宋体" w:cs="宋体"/>
          <w:kern w:val="0"/>
          <w:szCs w:val="21"/>
        </w:rPr>
        <w:t>中标人必须提交所有定制品的节点图予招标人审批。</w:t>
      </w:r>
    </w:p>
    <w:p w14:paraId="7A0ACE3B">
      <w:pPr>
        <w:numPr>
          <w:ilvl w:val="1"/>
          <w:numId w:val="0"/>
        </w:numPr>
        <w:tabs>
          <w:tab w:val="left" w:pos="426"/>
          <w:tab w:val="left" w:pos="709"/>
          <w:tab w:val="left" w:pos="851"/>
        </w:tabs>
        <w:adjustRightInd w:val="0"/>
        <w:snapToGrid w:val="0"/>
        <w:spacing w:line="360" w:lineRule="auto"/>
        <w:jc w:val="left"/>
        <w:rPr>
          <w:rFonts w:hint="eastAsia" w:ascii="宋体" w:hAnsi="宋体" w:cs="宋体"/>
          <w:kern w:val="0"/>
          <w:szCs w:val="21"/>
        </w:rPr>
      </w:pPr>
      <w:r>
        <w:rPr>
          <w:rFonts w:ascii="宋体" w:hAnsi="宋体" w:cs="宋体"/>
          <w:kern w:val="0"/>
          <w:szCs w:val="21"/>
        </w:rPr>
        <w:t>9、</w:t>
      </w:r>
      <w:r>
        <w:rPr>
          <w:rFonts w:hint="eastAsia" w:ascii="宋体" w:hAnsi="宋体" w:cs="宋体"/>
          <w:kern w:val="0"/>
          <w:szCs w:val="21"/>
        </w:rPr>
        <w:t>中标人必须留意生产的前期需求。</w:t>
      </w:r>
    </w:p>
    <w:p w14:paraId="10295151">
      <w:pPr>
        <w:numPr>
          <w:ilvl w:val="1"/>
          <w:numId w:val="0"/>
        </w:numPr>
        <w:tabs>
          <w:tab w:val="left" w:pos="426"/>
          <w:tab w:val="left" w:pos="851"/>
        </w:tabs>
        <w:adjustRightInd w:val="0"/>
        <w:snapToGrid w:val="0"/>
        <w:spacing w:line="360" w:lineRule="auto"/>
        <w:jc w:val="left"/>
        <w:rPr>
          <w:rFonts w:hint="eastAsia" w:ascii="宋体" w:hAnsi="宋体" w:cs="宋体"/>
          <w:kern w:val="0"/>
          <w:szCs w:val="21"/>
        </w:rPr>
      </w:pPr>
      <w:r>
        <w:rPr>
          <w:rFonts w:ascii="宋体" w:hAnsi="宋体" w:cs="宋体"/>
          <w:kern w:val="0"/>
          <w:szCs w:val="21"/>
        </w:rPr>
        <w:t>10、</w:t>
      </w:r>
      <w:r>
        <w:rPr>
          <w:rFonts w:hint="eastAsia" w:ascii="宋体" w:hAnsi="宋体" w:cs="宋体"/>
          <w:kern w:val="0"/>
          <w:szCs w:val="21"/>
        </w:rPr>
        <w:t>负责家具产品供应到招标人指定到场地点之前，全部运输、运输保险等工作。</w:t>
      </w:r>
    </w:p>
    <w:p w14:paraId="1AE3F7E5">
      <w:pPr>
        <w:numPr>
          <w:ilvl w:val="1"/>
          <w:numId w:val="0"/>
        </w:numPr>
        <w:tabs>
          <w:tab w:val="left" w:pos="426"/>
          <w:tab w:val="left" w:pos="851"/>
        </w:tabs>
        <w:adjustRightInd w:val="0"/>
        <w:snapToGrid w:val="0"/>
        <w:spacing w:line="360" w:lineRule="auto"/>
        <w:jc w:val="left"/>
        <w:rPr>
          <w:rFonts w:hint="eastAsia" w:ascii="宋体" w:hAnsi="宋体" w:cs="宋体"/>
          <w:kern w:val="0"/>
          <w:szCs w:val="21"/>
        </w:rPr>
      </w:pPr>
      <w:r>
        <w:rPr>
          <w:rFonts w:ascii="宋体" w:hAnsi="宋体" w:cs="宋体"/>
          <w:kern w:val="0"/>
          <w:szCs w:val="21"/>
        </w:rPr>
        <w:t>11、</w:t>
      </w:r>
      <w:r>
        <w:rPr>
          <w:rFonts w:hint="eastAsia" w:ascii="宋体" w:hAnsi="宋体" w:cs="宋体"/>
          <w:kern w:val="0"/>
          <w:szCs w:val="21"/>
        </w:rPr>
        <w:t>安排专业的项目技术人员现场指导部分组装家具，确保整个项目供货顺利进行。</w:t>
      </w:r>
    </w:p>
    <w:p w14:paraId="01FECED1">
      <w:pPr>
        <w:tabs>
          <w:tab w:val="left" w:pos="284"/>
          <w:tab w:val="left" w:pos="851"/>
        </w:tabs>
        <w:adjustRightInd w:val="0"/>
        <w:snapToGrid w:val="0"/>
        <w:spacing w:line="360" w:lineRule="auto"/>
        <w:jc w:val="left"/>
        <w:rPr>
          <w:rFonts w:hint="eastAsia" w:ascii="宋体" w:hAnsi="宋体" w:cs="宋体"/>
          <w:kern w:val="0"/>
          <w:szCs w:val="21"/>
        </w:rPr>
      </w:pPr>
    </w:p>
    <w:p w14:paraId="6B38A24B">
      <w:pPr>
        <w:pStyle w:val="4"/>
        <w:numPr>
          <w:ilvl w:val="0"/>
          <w:numId w:val="1"/>
        </w:numPr>
        <w:rPr>
          <w:rFonts w:hint="eastAsia"/>
        </w:rPr>
      </w:pPr>
      <w:r>
        <w:rPr>
          <w:rFonts w:hint="eastAsia"/>
        </w:rPr>
        <w:t>报价及结算要求</w:t>
      </w:r>
    </w:p>
    <w:p w14:paraId="5EA58D43">
      <w:pPr>
        <w:numPr>
          <w:ilvl w:val="3"/>
          <w:numId w:val="0"/>
        </w:numPr>
        <w:tabs>
          <w:tab w:val="left" w:pos="426"/>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1、投标人可选择对其中任何一个或两个子项分开报价，每项报价不得超过最高限价。</w:t>
      </w:r>
    </w:p>
    <w:p w14:paraId="02F90E20">
      <w:pPr>
        <w:numPr>
          <w:ilvl w:val="3"/>
          <w:numId w:val="0"/>
        </w:numPr>
        <w:tabs>
          <w:tab w:val="left" w:pos="426"/>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报价应含本体及附配件的设计、制造、包装、运输（运至招标人指定现场）、验收、验收后的实物移交、技术服务（包括设计联络、技术资料、图纸的提供）、指导培训招标人相关工作人员对家具的日常清洁维保、质保期及质保期内维护保养及其他相关服务内容、增值税等。</w:t>
      </w:r>
    </w:p>
    <w:p w14:paraId="6063EFA8">
      <w:pPr>
        <w:numPr>
          <w:ilvl w:val="3"/>
          <w:numId w:val="0"/>
        </w:numPr>
        <w:tabs>
          <w:tab w:val="left" w:pos="42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3、相关服务包含：</w:t>
      </w:r>
    </w:p>
    <w:p w14:paraId="3A8623A8">
      <w:pPr>
        <w:tabs>
          <w:tab w:val="left" w:pos="42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a、负责家具具体尺寸图纸的深化设计，需按照现场条件进行尺寸复核后才能排产；</w:t>
      </w:r>
    </w:p>
    <w:p w14:paraId="37A2BC3B">
      <w:pPr>
        <w:tabs>
          <w:tab w:val="left" w:pos="42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b、指导培训招标人相关人员的使用操作及安全须知等；</w:t>
      </w:r>
    </w:p>
    <w:p w14:paraId="04C88A90">
      <w:pPr>
        <w:tabs>
          <w:tab w:val="left" w:pos="42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c、质保期内的维修保养服务和质保期外的维修保养计划。</w:t>
      </w:r>
    </w:p>
    <w:p w14:paraId="2B4F136D">
      <w:pPr>
        <w:numPr>
          <w:ilvl w:val="3"/>
          <w:numId w:val="0"/>
        </w:numPr>
        <w:tabs>
          <w:tab w:val="left" w:pos="42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4、招标人有权对同等规格、材料的家具进行局部款式变更（如布料颜色、木纹种类变更），其报价不变。</w:t>
      </w:r>
    </w:p>
    <w:p w14:paraId="719CBB98">
      <w:pPr>
        <w:numPr>
          <w:ilvl w:val="3"/>
          <w:numId w:val="0"/>
        </w:numPr>
        <w:tabs>
          <w:tab w:val="left" w:pos="426"/>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5、本项目采购报价清单中家具数量为暂定数量，最终以实际发生的结算。</w:t>
      </w:r>
    </w:p>
    <w:p w14:paraId="2A24AF9E">
      <w:pPr>
        <w:tabs>
          <w:tab w:val="left" w:pos="567"/>
        </w:tabs>
        <w:adjustRightInd w:val="0"/>
        <w:snapToGrid w:val="0"/>
        <w:spacing w:line="360" w:lineRule="auto"/>
        <w:jc w:val="left"/>
        <w:rPr>
          <w:rFonts w:hint="eastAsia" w:ascii="宋体" w:hAnsi="宋体" w:cs="宋体"/>
          <w:kern w:val="0"/>
          <w:szCs w:val="21"/>
        </w:rPr>
      </w:pPr>
    </w:p>
    <w:p w14:paraId="40FA55C7">
      <w:pPr>
        <w:pStyle w:val="4"/>
        <w:numPr>
          <w:ilvl w:val="0"/>
          <w:numId w:val="1"/>
        </w:numPr>
        <w:rPr>
          <w:rFonts w:hint="eastAsia"/>
        </w:rPr>
      </w:pPr>
      <w:r>
        <w:rPr>
          <w:rFonts w:hint="eastAsia"/>
        </w:rPr>
        <w:t>包装、保险及发运、保管要求</w:t>
      </w:r>
    </w:p>
    <w:p w14:paraId="664FEF70">
      <w:pPr>
        <w:adjustRightInd w:val="0"/>
        <w:snapToGrid w:val="0"/>
        <w:spacing w:line="360" w:lineRule="auto"/>
        <w:jc w:val="left"/>
        <w:rPr>
          <w:rFonts w:hint="eastAsia" w:ascii="宋体" w:hAnsi="宋体" w:cs="宋体"/>
          <w:szCs w:val="21"/>
        </w:rPr>
      </w:pPr>
      <w:r>
        <w:rPr>
          <w:rFonts w:hint="eastAsia" w:ascii="宋体" w:hAnsi="宋体" w:cs="宋体"/>
          <w:szCs w:val="21"/>
        </w:rPr>
        <w:t>1、材料的包装必须是制造商原厂包装，其包装均应有良好的防湿、防锈、防潮、防雨、防腐及防碰撞的措施。凡由于包装不良造成的损失和由此产生的费用均由投标人承担。</w:t>
      </w:r>
    </w:p>
    <w:p w14:paraId="6994951A">
      <w:pPr>
        <w:adjustRightInd w:val="0"/>
        <w:snapToGrid w:val="0"/>
        <w:spacing w:line="360" w:lineRule="auto"/>
        <w:jc w:val="left"/>
        <w:rPr>
          <w:rFonts w:hint="eastAsia" w:ascii="宋体" w:hAnsi="宋体" w:cs="宋体"/>
          <w:szCs w:val="21"/>
        </w:rPr>
      </w:pPr>
      <w:r>
        <w:rPr>
          <w:rFonts w:hint="eastAsia" w:ascii="宋体" w:hAnsi="宋体" w:cs="宋体"/>
          <w:szCs w:val="21"/>
        </w:rPr>
        <w:t>2、中标人负责将设备材料货到现场过程中的全部运输，包括装卸车、货物现场的搬运。</w:t>
      </w:r>
    </w:p>
    <w:p w14:paraId="178FB293">
      <w:pPr>
        <w:adjustRightInd w:val="0"/>
        <w:snapToGrid w:val="0"/>
        <w:spacing w:line="360" w:lineRule="auto"/>
        <w:jc w:val="left"/>
        <w:rPr>
          <w:rFonts w:hint="eastAsia" w:ascii="宋体" w:hAnsi="宋体" w:cs="宋体"/>
          <w:szCs w:val="21"/>
        </w:rPr>
      </w:pPr>
      <w:r>
        <w:rPr>
          <w:rFonts w:hint="eastAsia" w:ascii="宋体" w:hAnsi="宋体" w:cs="宋体"/>
          <w:szCs w:val="21"/>
        </w:rPr>
        <w:t>3、各种原材料必须提供装箱清单，按装箱清单验收货物。</w:t>
      </w:r>
    </w:p>
    <w:p w14:paraId="08C373FB">
      <w:pPr>
        <w:adjustRightInd w:val="0"/>
        <w:snapToGrid w:val="0"/>
        <w:spacing w:line="360" w:lineRule="auto"/>
        <w:jc w:val="left"/>
        <w:rPr>
          <w:rFonts w:hint="eastAsia" w:ascii="宋体" w:hAnsi="宋体" w:cs="宋体"/>
          <w:szCs w:val="21"/>
        </w:rPr>
      </w:pPr>
      <w:r>
        <w:rPr>
          <w:rFonts w:hint="eastAsia" w:ascii="宋体" w:hAnsi="宋体" w:cs="宋体"/>
          <w:szCs w:val="21"/>
        </w:rPr>
        <w:t>4、材料在现场的保管由中标人负责，直至项目安装、验收完毕。</w:t>
      </w:r>
    </w:p>
    <w:p w14:paraId="4E7E160D">
      <w:pPr>
        <w:adjustRightInd w:val="0"/>
        <w:snapToGrid w:val="0"/>
        <w:spacing w:line="360" w:lineRule="auto"/>
        <w:jc w:val="left"/>
        <w:rPr>
          <w:rFonts w:hint="eastAsia" w:ascii="宋体" w:hAnsi="宋体" w:cs="宋体"/>
          <w:szCs w:val="21"/>
        </w:rPr>
      </w:pPr>
      <w:r>
        <w:rPr>
          <w:rFonts w:hint="eastAsia" w:ascii="宋体" w:hAnsi="宋体" w:cs="宋体"/>
          <w:szCs w:val="21"/>
        </w:rPr>
        <w:t>5、材料至招标人指定的使用现场的包装、保险及发运等环节和费用均由中标人负责。</w:t>
      </w:r>
    </w:p>
    <w:p w14:paraId="1116D5BD">
      <w:pPr>
        <w:tabs>
          <w:tab w:val="left" w:pos="2340"/>
        </w:tabs>
        <w:adjustRightInd w:val="0"/>
        <w:snapToGrid w:val="0"/>
        <w:spacing w:line="360" w:lineRule="auto"/>
        <w:jc w:val="left"/>
        <w:rPr>
          <w:rFonts w:hint="eastAsia" w:ascii="宋体" w:hAnsi="宋体" w:cs="宋体"/>
          <w:kern w:val="0"/>
          <w:szCs w:val="21"/>
        </w:rPr>
      </w:pPr>
    </w:p>
    <w:p w14:paraId="4E7D5A00">
      <w:pPr>
        <w:pStyle w:val="4"/>
        <w:numPr>
          <w:ilvl w:val="0"/>
          <w:numId w:val="1"/>
        </w:numPr>
        <w:rPr>
          <w:rFonts w:hint="eastAsia"/>
        </w:rPr>
      </w:pPr>
      <w:bookmarkStart w:id="14" w:name="OLE_LINK18"/>
      <w:bookmarkStart w:id="15" w:name="OLE_LINK19"/>
      <w:r>
        <w:rPr>
          <w:rFonts w:hint="eastAsia"/>
        </w:rPr>
        <w:t>安装、调试与验收</w:t>
      </w:r>
    </w:p>
    <w:bookmarkEnd w:id="14"/>
    <w:bookmarkEnd w:id="15"/>
    <w:p w14:paraId="3298F9A3">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1、货物若有国家标准按照国家标准验收，若无国家标准按行业标准验收，为原制造商制造的全新产品，整机无污染，无侵权行为、表面无划损、无任何缺陷隐患，在中国境内可依常规安全合法使用。 </w:t>
      </w:r>
    </w:p>
    <w:p w14:paraId="74A44F27">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2、货物为原厂商未启封全新包装，具出厂合格证，序列号、包装箱号与出厂批号一致，并可追索查阅。所有随设备的附件必须齐全。</w:t>
      </w:r>
    </w:p>
    <w:p w14:paraId="37F08ABE">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3、中标人应将设备的用户手册、保修手册、有关单证资料及配备件、随机工具等交付给招标人，使用操作及安全须知等重要资料应附有中文说明。</w:t>
      </w:r>
    </w:p>
    <w:p w14:paraId="1DDED42C">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4、招标人组成验收小组按国家有关规定、规范进行验收，必要时邀请相关的专业人员或机构参与验收。因货物质量问题发生争议时，由质量技术监督部门鉴定。</w:t>
      </w:r>
    </w:p>
    <w:p w14:paraId="514AB478">
      <w:pPr>
        <w:tabs>
          <w:tab w:val="left" w:pos="284"/>
        </w:tabs>
        <w:adjustRightInd w:val="0"/>
        <w:snapToGrid w:val="0"/>
        <w:spacing w:line="360" w:lineRule="auto"/>
        <w:jc w:val="left"/>
        <w:rPr>
          <w:rFonts w:hint="eastAsia" w:ascii="宋体" w:hAnsi="宋体" w:cs="宋体"/>
          <w:b/>
          <w:kern w:val="0"/>
          <w:szCs w:val="21"/>
        </w:rPr>
      </w:pPr>
    </w:p>
    <w:p w14:paraId="7659EF5A">
      <w:pPr>
        <w:pStyle w:val="4"/>
        <w:numPr>
          <w:ilvl w:val="0"/>
          <w:numId w:val="1"/>
        </w:numPr>
        <w:rPr>
          <w:rFonts w:hint="eastAsia"/>
        </w:rPr>
      </w:pPr>
      <w:r>
        <w:rPr>
          <w:rFonts w:hint="eastAsia"/>
        </w:rPr>
        <w:t>质保期及售后服务要求</w:t>
      </w:r>
    </w:p>
    <w:p w14:paraId="71A3C18A">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1、产品质量保证期（简称“质保期”）为不少于</w:t>
      </w:r>
      <w:r>
        <w:rPr>
          <w:rFonts w:hint="eastAsia" w:ascii="宋体" w:hAnsi="宋体" w:cs="宋体"/>
          <w:kern w:val="0"/>
          <w:szCs w:val="21"/>
          <w:u w:val="single"/>
        </w:rPr>
        <w:t>1年</w:t>
      </w:r>
      <w:r>
        <w:rPr>
          <w:rFonts w:hint="eastAsia" w:ascii="宋体" w:hAnsi="宋体" w:cs="宋体"/>
          <w:kern w:val="0"/>
          <w:szCs w:val="21"/>
        </w:rPr>
        <w:t>，由招标人和中标人双方签署验收合格证书并办理项目移交之日算起；质保期内中标人对所供货物实行包修、包换、包退、包维护保养，期满后可同时提供终身(有偿)维修保养服务。</w:t>
      </w:r>
    </w:p>
    <w:p w14:paraId="0DC39BBB">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2、质保期内，如家具或零部件因非人为因素出现故障而造成短期停用时，则质保期和免费维修期相应顺延。如停用时间累计超过60天则质保期重新计算。</w:t>
      </w:r>
    </w:p>
    <w:p w14:paraId="596C128E">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对招标人的服务通知，中标人在接到维修人报修电话60分钟内响应，如货物出现故障，电话响应无法解决，24小时内到达现场，48小时内处理完毕。若在48小时内仍未能有效解决，中标人须免费提供同档次的产品予招标人临时使用。</w:t>
      </w:r>
    </w:p>
    <w:p w14:paraId="21908AED">
      <w:pPr>
        <w:tabs>
          <w:tab w:val="left" w:pos="2340"/>
        </w:tabs>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4、中标人在供货时必须提供厂家出具的质保书及售后服务承诺书；</w:t>
      </w:r>
    </w:p>
    <w:p w14:paraId="3A81A2D5">
      <w:pPr>
        <w:tabs>
          <w:tab w:val="left" w:pos="2340"/>
        </w:tabs>
        <w:adjustRightInd w:val="0"/>
        <w:snapToGrid w:val="0"/>
        <w:spacing w:line="360" w:lineRule="auto"/>
        <w:jc w:val="left"/>
        <w:rPr>
          <w:rFonts w:hint="eastAsia" w:ascii="宋体" w:hAnsi="宋体" w:cs="宋体"/>
          <w:b/>
          <w:szCs w:val="21"/>
        </w:rPr>
      </w:pPr>
      <w:r>
        <w:rPr>
          <w:rFonts w:hint="eastAsia" w:ascii="宋体" w:hAnsi="宋体" w:cs="宋体"/>
          <w:kern w:val="0"/>
          <w:szCs w:val="21"/>
        </w:rPr>
        <w:t>5、中标人须每年定期派人到用户现场进行检查及维护一次。</w:t>
      </w:r>
    </w:p>
    <w:p w14:paraId="0DC3941C">
      <w:pPr>
        <w:pStyle w:val="4"/>
        <w:numPr>
          <w:ilvl w:val="0"/>
          <w:numId w:val="1"/>
        </w:numPr>
        <w:rPr>
          <w:rFonts w:hint="eastAsia"/>
        </w:rPr>
      </w:pPr>
      <w:r>
        <w:rPr>
          <w:rFonts w:hint="eastAsia"/>
        </w:rPr>
        <w:t>重要指标</w:t>
      </w:r>
    </w:p>
    <w:tbl>
      <w:tblPr>
        <w:tblStyle w:val="22"/>
        <w:tblW w:w="8898" w:type="dxa"/>
        <w:jc w:val="center"/>
        <w:tblLayout w:type="fixed"/>
        <w:tblCellMar>
          <w:top w:w="0" w:type="dxa"/>
          <w:left w:w="108" w:type="dxa"/>
          <w:bottom w:w="0" w:type="dxa"/>
          <w:right w:w="108" w:type="dxa"/>
        </w:tblCellMar>
      </w:tblPr>
      <w:tblGrid>
        <w:gridCol w:w="8898"/>
      </w:tblGrid>
      <w:tr w14:paraId="308A3A9A">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5E49E4F9">
            <w:pPr>
              <w:widowControl/>
              <w:jc w:val="left"/>
              <w:textAlignment w:val="center"/>
              <w:rPr>
                <w:rFonts w:hint="eastAsia" w:ascii="宋体" w:hAnsi="宋体" w:cs="宋体"/>
              </w:rPr>
            </w:pPr>
            <w:r>
              <w:rPr>
                <w:rFonts w:hint="eastAsia" w:ascii="宋体" w:hAnsi="宋体" w:cs="宋体"/>
              </w:rPr>
              <w:t>“▲”1、办公卡座：屏风：铝合金框架厚度≥40mm，喷涂招标人指定logo；基材：选用E0级以上刨花板，桌面层板厚度≥25mm，其余≥16mm，投标人负责接通卡座强电位电源。</w:t>
            </w:r>
          </w:p>
        </w:tc>
      </w:tr>
      <w:tr w14:paraId="7128AF5B">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33A464FE">
            <w:pPr>
              <w:widowControl/>
              <w:jc w:val="left"/>
              <w:textAlignment w:val="center"/>
              <w:rPr>
                <w:rFonts w:hint="eastAsia" w:ascii="宋体" w:hAnsi="宋体" w:cs="宋体"/>
              </w:rPr>
            </w:pPr>
            <w:r>
              <w:rPr>
                <w:rFonts w:hint="eastAsia" w:ascii="宋体" w:hAnsi="宋体" w:cs="宋体"/>
              </w:rPr>
              <w:t>“▲”2、刨花板：</w:t>
            </w:r>
            <w:r>
              <w:rPr>
                <w:rFonts w:hint="eastAsia" w:ascii="宋体" w:hAnsi="宋体"/>
                <w:szCs w:val="21"/>
              </w:rPr>
              <w:t>内胶合强度≥</w:t>
            </w:r>
            <w:r>
              <w:rPr>
                <w:rFonts w:ascii="宋体" w:hAnsi="宋体"/>
                <w:szCs w:val="21"/>
              </w:rPr>
              <w:t>1.2</w:t>
            </w:r>
            <w:r>
              <w:rPr>
                <w:rFonts w:hint="eastAsia" w:ascii="宋体" w:hAnsi="宋体"/>
                <w:szCs w:val="21"/>
              </w:rPr>
              <w:t>5</w:t>
            </w:r>
            <w:r>
              <w:rPr>
                <w:rFonts w:ascii="宋体" w:hAnsi="宋体"/>
                <w:szCs w:val="21"/>
              </w:rPr>
              <w:t xml:space="preserve"> MPa</w:t>
            </w:r>
            <w:r>
              <w:rPr>
                <w:rFonts w:hint="eastAsia" w:ascii="宋体" w:hAnsi="宋体"/>
                <w:szCs w:val="21"/>
              </w:rPr>
              <w:t>；表面胶合强度≥</w:t>
            </w:r>
            <w:r>
              <w:rPr>
                <w:rFonts w:ascii="宋体" w:hAnsi="宋体"/>
                <w:szCs w:val="21"/>
              </w:rPr>
              <w:t>1.</w:t>
            </w:r>
            <w:r>
              <w:rPr>
                <w:rFonts w:hint="eastAsia" w:ascii="宋体" w:hAnsi="宋体"/>
                <w:szCs w:val="21"/>
              </w:rPr>
              <w:t>5</w:t>
            </w:r>
            <w:r>
              <w:rPr>
                <w:rFonts w:ascii="宋体" w:hAnsi="宋体"/>
                <w:szCs w:val="21"/>
              </w:rPr>
              <w:t xml:space="preserve"> MPa</w:t>
            </w:r>
            <w:r>
              <w:rPr>
                <w:rFonts w:hint="eastAsia" w:ascii="宋体" w:hAnsi="宋体"/>
                <w:szCs w:val="21"/>
              </w:rPr>
              <w:t>；静曲强度≥</w:t>
            </w:r>
            <w:r>
              <w:rPr>
                <w:rFonts w:ascii="宋体" w:hAnsi="宋体"/>
                <w:szCs w:val="21"/>
              </w:rPr>
              <w:t>26.</w:t>
            </w:r>
            <w:r>
              <w:rPr>
                <w:rFonts w:hint="eastAsia" w:ascii="宋体" w:hAnsi="宋体"/>
                <w:szCs w:val="21"/>
              </w:rPr>
              <w:t>0</w:t>
            </w:r>
            <w:r>
              <w:rPr>
                <w:rFonts w:ascii="宋体" w:hAnsi="宋体"/>
                <w:szCs w:val="21"/>
              </w:rPr>
              <w:t xml:space="preserve"> MPa</w:t>
            </w:r>
            <w:r>
              <w:rPr>
                <w:rFonts w:hint="eastAsia" w:ascii="宋体" w:hAnsi="宋体"/>
                <w:szCs w:val="21"/>
              </w:rPr>
              <w:t>；弹性模量≥</w:t>
            </w:r>
            <w:r>
              <w:rPr>
                <w:rFonts w:ascii="宋体" w:hAnsi="宋体"/>
                <w:szCs w:val="21"/>
              </w:rPr>
              <w:t>28</w:t>
            </w:r>
            <w:r>
              <w:rPr>
                <w:rFonts w:hint="eastAsia" w:ascii="宋体" w:hAnsi="宋体"/>
                <w:szCs w:val="21"/>
              </w:rPr>
              <w:t>5</w:t>
            </w:r>
            <w:r>
              <w:rPr>
                <w:rFonts w:ascii="宋体" w:hAnsi="宋体"/>
                <w:szCs w:val="21"/>
              </w:rPr>
              <w:t>0 MPa</w:t>
            </w:r>
            <w:r>
              <w:rPr>
                <w:rFonts w:hint="eastAsia" w:ascii="宋体" w:hAnsi="宋体"/>
                <w:szCs w:val="21"/>
              </w:rPr>
              <w:t>；握螺钉力（板面）≥</w:t>
            </w:r>
            <w:r>
              <w:rPr>
                <w:rFonts w:ascii="宋体" w:hAnsi="宋体"/>
                <w:szCs w:val="21"/>
              </w:rPr>
              <w:t>14</w:t>
            </w:r>
            <w:r>
              <w:rPr>
                <w:rFonts w:hint="eastAsia" w:ascii="宋体" w:hAnsi="宋体"/>
                <w:szCs w:val="21"/>
              </w:rPr>
              <w:t>8</w:t>
            </w:r>
            <w:r>
              <w:rPr>
                <w:rFonts w:ascii="宋体" w:hAnsi="宋体"/>
                <w:szCs w:val="21"/>
              </w:rPr>
              <w:t>0</w:t>
            </w:r>
            <w:r>
              <w:rPr>
                <w:rFonts w:hint="eastAsia" w:ascii="宋体" w:hAnsi="宋体"/>
                <w:szCs w:val="21"/>
              </w:rPr>
              <w:t>N；握螺钉力（板边）≥</w:t>
            </w:r>
            <w:r>
              <w:rPr>
                <w:rFonts w:ascii="宋体" w:hAnsi="宋体"/>
                <w:szCs w:val="21"/>
              </w:rPr>
              <w:t>11</w:t>
            </w:r>
            <w:r>
              <w:rPr>
                <w:rFonts w:hint="eastAsia" w:ascii="宋体" w:hAnsi="宋体"/>
                <w:szCs w:val="21"/>
              </w:rPr>
              <w:t>6</w:t>
            </w:r>
            <w:r>
              <w:rPr>
                <w:rFonts w:ascii="宋体" w:hAnsi="宋体"/>
                <w:szCs w:val="21"/>
              </w:rPr>
              <w:t>0</w:t>
            </w:r>
            <w:r>
              <w:rPr>
                <w:rFonts w:hint="eastAsia" w:ascii="宋体" w:hAnsi="宋体"/>
                <w:szCs w:val="21"/>
              </w:rPr>
              <w:t xml:space="preserve">N；含水率≥ </w:t>
            </w:r>
            <w:r>
              <w:rPr>
                <w:rFonts w:ascii="宋体" w:hAnsi="宋体"/>
                <w:szCs w:val="21"/>
              </w:rPr>
              <w:t>6.</w:t>
            </w:r>
            <w:r>
              <w:rPr>
                <w:rFonts w:hint="eastAsia" w:ascii="宋体" w:hAnsi="宋体"/>
                <w:szCs w:val="21"/>
              </w:rPr>
              <w:t>8</w:t>
            </w:r>
            <w:r>
              <w:rPr>
                <w:rFonts w:ascii="宋体" w:hAnsi="宋体"/>
                <w:szCs w:val="21"/>
              </w:rPr>
              <w:t>%</w:t>
            </w:r>
            <w:r>
              <w:rPr>
                <w:rFonts w:hint="eastAsia" w:ascii="宋体" w:hAnsi="宋体"/>
                <w:szCs w:val="21"/>
              </w:rPr>
              <w:t>；甲醛释放量≤0.05mg/m³；外观质量无断裂、透裂、压痕、无胶斑、石蜡斑、油污斑等污染点、无边角缺损均符合要求；挥发性有机化合物释放浓度（7d）：（苯、甲苯、二甲苯、总挥发性有机化合物（TVOC））均未检出；总挥发性有机化合物（</w:t>
            </w:r>
            <w:r>
              <w:rPr>
                <w:rFonts w:ascii="宋体" w:hAnsi="宋体"/>
                <w:szCs w:val="21"/>
              </w:rPr>
              <w:t>TVOC</w:t>
            </w:r>
            <w:r>
              <w:rPr>
                <w:rFonts w:hint="eastAsia" w:ascii="宋体" w:hAnsi="宋体"/>
                <w:szCs w:val="21"/>
              </w:rPr>
              <w:t>）≤</w:t>
            </w:r>
            <w:r>
              <w:rPr>
                <w:rFonts w:ascii="宋体" w:hAnsi="宋体" w:cs="宋体"/>
                <w:color w:val="000000"/>
                <w:kern w:val="0"/>
                <w:szCs w:val="21"/>
                <w:lang w:bidi="ar"/>
              </w:rPr>
              <w:t>0.5</w:t>
            </w:r>
            <w:r>
              <w:rPr>
                <w:rFonts w:hint="eastAsia" w:ascii="宋体" w:hAnsi="宋体" w:cs="宋体"/>
                <w:color w:val="000000"/>
                <w:kern w:val="0"/>
                <w:szCs w:val="21"/>
                <w:lang w:bidi="ar"/>
              </w:rPr>
              <w:t>0</w:t>
            </w:r>
            <w:r>
              <w:rPr>
                <w:rFonts w:ascii="宋体" w:hAnsi="宋体" w:cs="宋体"/>
                <w:color w:val="000000"/>
                <w:kern w:val="0"/>
                <w:szCs w:val="21"/>
                <w:lang w:bidi="ar"/>
              </w:rPr>
              <w:t>mg/</w:t>
            </w:r>
            <w:r>
              <w:rPr>
                <w:rFonts w:hint="eastAsia" w:ascii="宋体" w:hAnsi="宋体" w:cs="宋体"/>
                <w:color w:val="000000"/>
                <w:kern w:val="0"/>
                <w:szCs w:val="21"/>
                <w:lang w:bidi="ar"/>
              </w:rPr>
              <w:t>㎡</w:t>
            </w:r>
            <w:r>
              <w:rPr>
                <w:rFonts w:ascii="宋体" w:hAnsi="宋体" w:cs="宋体"/>
                <w:color w:val="000000"/>
                <w:kern w:val="0"/>
                <w:szCs w:val="21"/>
                <w:lang w:bidi="ar"/>
              </w:rPr>
              <w:t xml:space="preserve"> </w:t>
            </w:r>
            <w:r>
              <w:rPr>
                <w:color w:val="000000"/>
                <w:kern w:val="0"/>
                <w:szCs w:val="21"/>
                <w:lang w:bidi="ar"/>
              </w:rPr>
              <w:t>▪</w:t>
            </w:r>
            <w:r>
              <w:rPr>
                <w:rFonts w:ascii="宋体" w:hAnsi="宋体" w:cs="宋体"/>
                <w:color w:val="000000"/>
                <w:kern w:val="0"/>
                <w:szCs w:val="21"/>
                <w:lang w:bidi="ar"/>
              </w:rPr>
              <w:t>h</w:t>
            </w:r>
            <w:r>
              <w:rPr>
                <w:rFonts w:hint="eastAsia" w:ascii="宋体" w:hAnsi="宋体" w:cs="宋体"/>
                <w:color w:val="000000"/>
                <w:kern w:val="0"/>
                <w:szCs w:val="21"/>
                <w:lang w:bidi="ar"/>
              </w:rPr>
              <w:t>；</w:t>
            </w:r>
            <w:r>
              <w:rPr>
                <w:rFonts w:hint="eastAsia" w:ascii="宋体" w:hAnsi="宋体"/>
                <w:szCs w:val="21"/>
              </w:rPr>
              <w:t xml:space="preserve"> 燃烧性能等级B1级（燃烧增长速率指数≤98W/s、火焰横向蔓延是否到达试样长翼边缘符合要求、600s的总放热量≤6.0 MJ、60s内焰尖高度Fs≤150mm、60s内无燃烧滴落物引燃滤纸现象符合要求）；密度≥</w:t>
            </w:r>
            <w:r>
              <w:rPr>
                <w:rFonts w:ascii="宋体" w:hAnsi="宋体"/>
                <w:szCs w:val="21"/>
              </w:rPr>
              <w:t>0.6</w:t>
            </w:r>
            <w:r>
              <w:rPr>
                <w:rFonts w:hint="eastAsia" w:ascii="宋体" w:hAnsi="宋体"/>
                <w:szCs w:val="21"/>
              </w:rPr>
              <w:t>5 g/cm³；五氯苯酚未检出；24h 吸水厚度膨胀率≤1</w:t>
            </w:r>
            <w:r>
              <w:rPr>
                <w:rFonts w:ascii="宋体" w:hAnsi="宋体"/>
                <w:szCs w:val="21"/>
              </w:rPr>
              <w:t>.</w:t>
            </w:r>
            <w:r>
              <w:rPr>
                <w:rFonts w:hint="eastAsia" w:ascii="宋体" w:hAnsi="宋体"/>
                <w:szCs w:val="21"/>
              </w:rPr>
              <w:t>2</w:t>
            </w:r>
            <w:r>
              <w:rPr>
                <w:rFonts w:ascii="宋体" w:hAnsi="宋体"/>
                <w:szCs w:val="21"/>
              </w:rPr>
              <w:t>%</w:t>
            </w:r>
            <w:r>
              <w:rPr>
                <w:rFonts w:hint="eastAsia" w:ascii="宋体" w:hAnsi="宋体"/>
                <w:szCs w:val="21"/>
              </w:rPr>
              <w:t>；重金属元素含量（铅、铬、镉、汞）均未检出；表面耐香烟灼烧、表面耐干热、表面耐污染腐蚀素色均≥5级；表面耐龟裂≥5级；表面耐水蒸气≥5级；防霉菌性能</w:t>
            </w:r>
            <w:r>
              <w:rPr>
                <w:rFonts w:hint="eastAsia"/>
              </w:rPr>
              <w:t>检测包含十种（含）以上霉菌的长霉等级为0级</w:t>
            </w:r>
            <w:r>
              <w:rPr>
                <w:rFonts w:hint="eastAsia"/>
                <w:sz w:val="23"/>
                <w:szCs w:val="23"/>
              </w:rPr>
              <w:t>；</w:t>
            </w:r>
            <w:r>
              <w:rPr>
                <w:rFonts w:hint="eastAsia" w:ascii="宋体" w:hAnsi="宋体"/>
                <w:szCs w:val="21"/>
              </w:rPr>
              <w:t>抗菌性能</w:t>
            </w:r>
            <w:r>
              <w:rPr>
                <w:rFonts w:hint="eastAsia"/>
              </w:rPr>
              <w:t>检测包含十种（含）以上菌种的抑菌率≥99%</w:t>
            </w:r>
            <w:r>
              <w:rPr>
                <w:rFonts w:hint="eastAsia" w:ascii="宋体" w:hAnsi="宋体"/>
                <w:szCs w:val="21"/>
              </w:rPr>
              <w:t>；依据</w:t>
            </w:r>
            <w:r>
              <w:rPr>
                <w:rFonts w:ascii="宋体" w:hAnsi="宋体"/>
                <w:szCs w:val="21"/>
              </w:rPr>
              <w:t>GB 18580-2017</w:t>
            </w:r>
            <w:r>
              <w:rPr>
                <w:rFonts w:hint="eastAsia" w:ascii="宋体" w:hAnsi="宋体"/>
                <w:szCs w:val="21"/>
              </w:rPr>
              <w:t>、</w:t>
            </w:r>
            <w:r>
              <w:rPr>
                <w:rFonts w:ascii="宋体" w:hAnsi="宋体"/>
                <w:szCs w:val="21"/>
              </w:rPr>
              <w:t>GB 8624-2012</w:t>
            </w:r>
            <w:r>
              <w:rPr>
                <w:rFonts w:hint="eastAsia" w:ascii="宋体" w:hAnsi="宋体"/>
                <w:szCs w:val="21"/>
              </w:rPr>
              <w:t>、</w:t>
            </w:r>
            <w:r>
              <w:rPr>
                <w:rFonts w:ascii="宋体" w:hAnsi="宋体"/>
                <w:szCs w:val="21"/>
              </w:rPr>
              <w:t>GB/T 17657-2022</w:t>
            </w:r>
            <w:r>
              <w:rPr>
                <w:rFonts w:hint="eastAsia" w:ascii="宋体" w:hAnsi="宋体"/>
                <w:szCs w:val="21"/>
              </w:rPr>
              <w:t>、</w:t>
            </w:r>
            <w:r>
              <w:rPr>
                <w:rFonts w:ascii="宋体" w:hAnsi="宋体"/>
                <w:szCs w:val="21"/>
              </w:rPr>
              <w:t>GB/T35601-2024</w:t>
            </w:r>
            <w:r>
              <w:rPr>
                <w:rFonts w:hint="eastAsia" w:ascii="宋体" w:hAnsi="宋体"/>
                <w:szCs w:val="21"/>
              </w:rPr>
              <w:t>、</w:t>
            </w:r>
            <w:r>
              <w:rPr>
                <w:rFonts w:ascii="宋体" w:hAnsi="宋体"/>
                <w:szCs w:val="21"/>
              </w:rPr>
              <w:t>GB/T 4897-2015</w:t>
            </w:r>
            <w:r>
              <w:rPr>
                <w:rFonts w:hint="eastAsia" w:ascii="宋体" w:hAnsi="宋体"/>
                <w:szCs w:val="21"/>
              </w:rPr>
              <w:t>、</w:t>
            </w:r>
            <w:r>
              <w:rPr>
                <w:rFonts w:ascii="宋体" w:hAnsi="宋体"/>
                <w:szCs w:val="21"/>
              </w:rPr>
              <w:t>GB/T40493-2021</w:t>
            </w:r>
            <w:r>
              <w:rPr>
                <w:rFonts w:hint="eastAsia" w:ascii="宋体" w:hAnsi="宋体"/>
                <w:szCs w:val="21"/>
              </w:rPr>
              <w:t>、</w:t>
            </w:r>
            <w:r>
              <w:rPr>
                <w:rFonts w:ascii="宋体" w:hAnsi="宋体"/>
                <w:szCs w:val="21"/>
              </w:rPr>
              <w:t>HJ571-2010</w:t>
            </w:r>
            <w:r>
              <w:rPr>
                <w:rFonts w:hint="eastAsia" w:ascii="宋体" w:hAnsi="宋体"/>
                <w:szCs w:val="21"/>
              </w:rPr>
              <w:t>、</w:t>
            </w:r>
            <w:r>
              <w:rPr>
                <w:rFonts w:ascii="宋体" w:hAnsi="宋体"/>
                <w:szCs w:val="21"/>
              </w:rPr>
              <w:t>LY/T 1985-2011</w:t>
            </w:r>
            <w:r>
              <w:rPr>
                <w:rFonts w:hint="eastAsia" w:ascii="宋体" w:hAnsi="宋体"/>
                <w:szCs w:val="21"/>
              </w:rPr>
              <w:t>、JC/T2039-2010、QB/T 4371-2012检测标准</w:t>
            </w:r>
            <w:r>
              <w:rPr>
                <w:rFonts w:hint="eastAsia" w:ascii="宋体" w:hAnsi="宋体" w:cs="宋体"/>
              </w:rPr>
              <w:t>（提供符合此数据相对应的检测报告）</w:t>
            </w:r>
          </w:p>
        </w:tc>
      </w:tr>
      <w:tr w14:paraId="79ACDD8C">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5AC668C7">
            <w:pPr>
              <w:widowControl/>
              <w:jc w:val="left"/>
              <w:textAlignment w:val="center"/>
              <w:rPr>
                <w:rFonts w:hint="eastAsia" w:ascii="宋体" w:hAnsi="宋体" w:cs="宋体"/>
              </w:rPr>
            </w:pPr>
            <w:r>
              <w:rPr>
                <w:rFonts w:hint="eastAsia" w:ascii="宋体" w:hAnsi="宋体" w:cs="宋体"/>
              </w:rPr>
              <w:t>“▲”3、中密度纤维板：</w:t>
            </w:r>
            <w:r>
              <w:rPr>
                <w:rFonts w:hint="eastAsia" w:ascii="宋体" w:hAnsi="宋体"/>
                <w:szCs w:val="21"/>
              </w:rPr>
              <w:t>板内密度偏差≤3</w:t>
            </w:r>
            <w:r>
              <w:rPr>
                <w:rFonts w:ascii="宋体" w:hAnsi="宋体"/>
                <w:szCs w:val="21"/>
              </w:rPr>
              <w:t>%</w:t>
            </w:r>
            <w:r>
              <w:rPr>
                <w:rFonts w:hint="eastAsia" w:ascii="宋体" w:hAnsi="宋体"/>
                <w:szCs w:val="21"/>
              </w:rPr>
              <w:t>；含水率≤7</w:t>
            </w:r>
            <w:r>
              <w:rPr>
                <w:rFonts w:ascii="宋体" w:hAnsi="宋体"/>
                <w:szCs w:val="21"/>
              </w:rPr>
              <w:t>.1%</w:t>
            </w:r>
            <w:r>
              <w:rPr>
                <w:rFonts w:hint="eastAsia" w:ascii="宋体" w:hAnsi="宋体"/>
                <w:szCs w:val="21"/>
              </w:rPr>
              <w:t>；静曲强度</w:t>
            </w:r>
            <w:r>
              <w:rPr>
                <w:rFonts w:hint="eastAsia" w:ascii="宋体" w:hAnsi="宋体" w:cs="仿宋_GB2312"/>
                <w:kern w:val="0"/>
                <w:szCs w:val="21"/>
              </w:rPr>
              <w:t>≥</w:t>
            </w:r>
            <w:r>
              <w:rPr>
                <w:rFonts w:ascii="宋体" w:hAnsi="宋体"/>
                <w:szCs w:val="21"/>
              </w:rPr>
              <w:t>30.0</w:t>
            </w:r>
            <w:r>
              <w:rPr>
                <w:rFonts w:hint="eastAsia" w:ascii="宋体" w:hAnsi="宋体"/>
                <w:szCs w:val="21"/>
              </w:rPr>
              <w:t xml:space="preserve"> MPa；弹性模量</w:t>
            </w:r>
            <w:r>
              <w:rPr>
                <w:rFonts w:hint="eastAsia" w:ascii="宋体" w:hAnsi="宋体" w:cs="仿宋_GB2312"/>
                <w:kern w:val="0"/>
                <w:szCs w:val="21"/>
              </w:rPr>
              <w:t>≥</w:t>
            </w:r>
            <w:r>
              <w:rPr>
                <w:rFonts w:hint="eastAsia" w:ascii="宋体" w:hAnsi="宋体"/>
                <w:szCs w:val="21"/>
              </w:rPr>
              <w:t>3</w:t>
            </w:r>
            <w:r>
              <w:rPr>
                <w:rFonts w:ascii="宋体" w:hAnsi="宋体"/>
                <w:szCs w:val="21"/>
              </w:rPr>
              <w:t>3</w:t>
            </w:r>
            <w:r>
              <w:rPr>
                <w:rFonts w:hint="eastAsia" w:ascii="宋体" w:hAnsi="宋体"/>
                <w:szCs w:val="21"/>
              </w:rPr>
              <w:t>0</w:t>
            </w:r>
            <w:r>
              <w:rPr>
                <w:rFonts w:ascii="宋体" w:hAnsi="宋体"/>
                <w:szCs w:val="21"/>
              </w:rPr>
              <w:t>0</w:t>
            </w:r>
            <w:r>
              <w:rPr>
                <w:rFonts w:hint="eastAsia" w:ascii="宋体" w:hAnsi="宋体"/>
                <w:szCs w:val="21"/>
              </w:rPr>
              <w:t xml:space="preserve"> MPa；内胶合强度</w:t>
            </w:r>
            <w:r>
              <w:rPr>
                <w:rFonts w:hint="eastAsia" w:ascii="宋体" w:hAnsi="宋体" w:cs="仿宋_GB2312"/>
                <w:kern w:val="0"/>
                <w:szCs w:val="21"/>
              </w:rPr>
              <w:t>≥</w:t>
            </w:r>
            <w:r>
              <w:rPr>
                <w:rFonts w:hint="eastAsia" w:ascii="宋体" w:hAnsi="宋体"/>
                <w:szCs w:val="21"/>
              </w:rPr>
              <w:t>0</w:t>
            </w:r>
            <w:r>
              <w:rPr>
                <w:rFonts w:ascii="宋体" w:hAnsi="宋体"/>
                <w:szCs w:val="21"/>
              </w:rPr>
              <w:t>.6</w:t>
            </w:r>
            <w:r>
              <w:rPr>
                <w:rFonts w:hint="eastAsia" w:ascii="宋体" w:hAnsi="宋体"/>
                <w:szCs w:val="21"/>
              </w:rPr>
              <w:t>3MPa；吸水厚度膨胀率</w:t>
            </w:r>
            <w:r>
              <w:rPr>
                <w:rFonts w:hint="eastAsia" w:ascii="宋体" w:hAnsi="宋体" w:cs="仿宋_GB2312"/>
                <w:kern w:val="0"/>
                <w:szCs w:val="21"/>
              </w:rPr>
              <w:t>≤</w:t>
            </w:r>
            <w:r>
              <w:rPr>
                <w:rFonts w:hint="eastAsia" w:ascii="宋体" w:hAnsi="宋体"/>
                <w:szCs w:val="21"/>
              </w:rPr>
              <w:t xml:space="preserve"> </w:t>
            </w:r>
            <w:r>
              <w:rPr>
                <w:rFonts w:ascii="宋体" w:hAnsi="宋体"/>
                <w:szCs w:val="21"/>
              </w:rPr>
              <w:t>1.8</w:t>
            </w:r>
            <w:r>
              <w:rPr>
                <w:rFonts w:hint="eastAsia" w:ascii="宋体" w:hAnsi="宋体"/>
                <w:szCs w:val="21"/>
              </w:rPr>
              <w:t>%；表面胶合强度</w:t>
            </w:r>
            <w:r>
              <w:rPr>
                <w:rFonts w:hint="eastAsia" w:ascii="宋体" w:hAnsi="宋体" w:cs="仿宋_GB2312"/>
                <w:kern w:val="0"/>
                <w:szCs w:val="21"/>
              </w:rPr>
              <w:t>≥</w:t>
            </w:r>
            <w:r>
              <w:rPr>
                <w:rFonts w:hint="eastAsia" w:ascii="宋体" w:hAnsi="宋体"/>
                <w:szCs w:val="21"/>
              </w:rPr>
              <w:t>1</w:t>
            </w:r>
            <w:r>
              <w:rPr>
                <w:rFonts w:ascii="宋体" w:hAnsi="宋体"/>
                <w:szCs w:val="21"/>
              </w:rPr>
              <w:t>.3</w:t>
            </w:r>
            <w:r>
              <w:rPr>
                <w:rFonts w:hint="eastAsia" w:ascii="宋体" w:hAnsi="宋体"/>
                <w:szCs w:val="21"/>
              </w:rPr>
              <w:t xml:space="preserve"> MPa；甲醛释放量≤0.05mg/m³；外观质量：分层、鼓泡、或炭化、局部松软、板边缺损、油污斑点或异物、压痕均符合要求；挥发性有机化合物释放浓度（7d）：（苯、甲苯、二甲苯、总挥发性有机化合物（TVOC））均未检出；总挥发性有机化合物（</w:t>
            </w:r>
            <w:r>
              <w:rPr>
                <w:rFonts w:ascii="宋体" w:hAnsi="宋体"/>
                <w:szCs w:val="21"/>
              </w:rPr>
              <w:t>TVOC</w:t>
            </w:r>
            <w:r>
              <w:rPr>
                <w:rFonts w:hint="eastAsia" w:ascii="宋体" w:hAnsi="宋体"/>
                <w:szCs w:val="21"/>
              </w:rPr>
              <w:t>）≤</w:t>
            </w:r>
            <w:r>
              <w:rPr>
                <w:rFonts w:ascii="宋体" w:hAnsi="宋体" w:cs="宋体"/>
                <w:color w:val="000000"/>
                <w:kern w:val="0"/>
                <w:szCs w:val="21"/>
                <w:lang w:bidi="ar"/>
              </w:rPr>
              <w:t>0.5</w:t>
            </w:r>
            <w:r>
              <w:rPr>
                <w:rFonts w:hint="eastAsia" w:ascii="宋体" w:hAnsi="宋体" w:cs="宋体"/>
                <w:color w:val="000000"/>
                <w:kern w:val="0"/>
                <w:szCs w:val="21"/>
                <w:lang w:bidi="ar"/>
              </w:rPr>
              <w:t>0</w:t>
            </w:r>
            <w:r>
              <w:rPr>
                <w:rFonts w:ascii="宋体" w:hAnsi="宋体" w:cs="宋体"/>
                <w:color w:val="000000"/>
                <w:kern w:val="0"/>
                <w:szCs w:val="21"/>
                <w:lang w:bidi="ar"/>
              </w:rPr>
              <w:t>mg/</w:t>
            </w:r>
            <w:r>
              <w:rPr>
                <w:rFonts w:hint="eastAsia" w:ascii="宋体" w:hAnsi="宋体" w:cs="宋体"/>
                <w:color w:val="000000"/>
                <w:kern w:val="0"/>
                <w:szCs w:val="21"/>
                <w:lang w:bidi="ar"/>
              </w:rPr>
              <w:t>㎡</w:t>
            </w:r>
            <w:r>
              <w:rPr>
                <w:rFonts w:ascii="宋体" w:hAnsi="宋体" w:cs="宋体"/>
                <w:color w:val="000000"/>
                <w:kern w:val="0"/>
                <w:szCs w:val="21"/>
                <w:lang w:bidi="ar"/>
              </w:rPr>
              <w:t xml:space="preserve"> </w:t>
            </w:r>
            <w:r>
              <w:rPr>
                <w:color w:val="000000"/>
                <w:kern w:val="0"/>
                <w:szCs w:val="21"/>
                <w:lang w:bidi="ar"/>
              </w:rPr>
              <w:t>▪</w:t>
            </w:r>
            <w:r>
              <w:rPr>
                <w:rFonts w:ascii="宋体" w:hAnsi="宋体" w:cs="宋体"/>
                <w:color w:val="000000"/>
                <w:kern w:val="0"/>
                <w:szCs w:val="21"/>
                <w:lang w:bidi="ar"/>
              </w:rPr>
              <w:t>h</w:t>
            </w:r>
            <w:r>
              <w:rPr>
                <w:rFonts w:hint="eastAsia" w:ascii="宋体" w:hAnsi="宋体" w:cs="宋体"/>
                <w:color w:val="000000"/>
                <w:kern w:val="0"/>
                <w:szCs w:val="21"/>
                <w:lang w:bidi="ar"/>
              </w:rPr>
              <w:t>；</w:t>
            </w:r>
            <w:r>
              <w:rPr>
                <w:rFonts w:hint="eastAsia" w:ascii="宋体" w:hAnsi="宋体"/>
                <w:szCs w:val="21"/>
              </w:rPr>
              <w:t>燃烧性能等级达到B1级（燃烧增长速率指数</w:t>
            </w:r>
            <w:r>
              <w:rPr>
                <w:rFonts w:ascii="宋体" w:hAnsi="宋体"/>
                <w:szCs w:val="21"/>
              </w:rPr>
              <w:t>97W/s</w:t>
            </w:r>
            <w:r>
              <w:rPr>
                <w:rFonts w:hint="eastAsia" w:ascii="宋体" w:hAnsi="宋体"/>
                <w:szCs w:val="21"/>
              </w:rPr>
              <w:t>、火焰横向蔓延是否到达试样长翼边缘符合要求、600s的总放热量≤6.5</w:t>
            </w:r>
            <w:r>
              <w:rPr>
                <w:rFonts w:hint="eastAsia" w:ascii="宋体" w:hAnsi="宋体" w:cs="TimesNewRomanPSMT"/>
                <w:kern w:val="0"/>
                <w:szCs w:val="21"/>
              </w:rPr>
              <w:t xml:space="preserve"> </w:t>
            </w:r>
            <w:r>
              <w:rPr>
                <w:rFonts w:hint="eastAsia" w:ascii="宋体" w:hAnsi="宋体"/>
                <w:szCs w:val="21"/>
              </w:rPr>
              <w:t>MJ、60s内焰尖高度Fs≤150mm、60s内无燃烧滴落物引燃滤纸现象符合要求）；含砂量≤0</w:t>
            </w:r>
            <w:r>
              <w:rPr>
                <w:rFonts w:ascii="宋体" w:hAnsi="宋体"/>
                <w:szCs w:val="21"/>
              </w:rPr>
              <w:t>.02%</w:t>
            </w:r>
            <w:r>
              <w:rPr>
                <w:rFonts w:hint="eastAsia" w:ascii="宋体" w:hAnsi="宋体"/>
                <w:szCs w:val="21"/>
              </w:rPr>
              <w:t>；五氯苯酚未检出；醛酮类化合物（丙烯醛、丙酮、苯甲醛、丁烯醛、异戊醛、丙醛、2,5-二甲基苯甲）均未检出；总半挥发性有机化合物（TSVOC）未检出；重金属元素含量（铅、镉、铬、汞）均未检出；表面耐香烟灼烧、</w:t>
            </w:r>
            <w:r>
              <w:rPr>
                <w:rFonts w:hint="eastAsia" w:ascii="宋体" w:hAnsi="宋体" w:cs="仿宋_GB2312"/>
                <w:kern w:val="0"/>
                <w:szCs w:val="21"/>
              </w:rPr>
              <w:t>表面耐干热、表面耐污染腐蚀素色均≥5级；表面耐龟裂达到5级；表面耐水蒸气≥5级；</w:t>
            </w:r>
            <w:r>
              <w:rPr>
                <w:rFonts w:hint="eastAsia" w:ascii="宋体" w:hAnsi="宋体"/>
                <w:szCs w:val="21"/>
              </w:rPr>
              <w:t>防霉菌性能检测包含十种（含）以上霉菌的长霉等级为0级；抗菌性能检测包含十种（含）以上菌种的抑菌率≥99%；依据</w:t>
            </w:r>
            <w:r>
              <w:rPr>
                <w:rFonts w:ascii="宋体" w:hAnsi="宋体"/>
                <w:szCs w:val="21"/>
              </w:rPr>
              <w:t>GB 18580-2017</w:t>
            </w:r>
            <w:r>
              <w:rPr>
                <w:rFonts w:hint="eastAsia" w:ascii="宋体" w:hAnsi="宋体"/>
                <w:szCs w:val="21"/>
              </w:rPr>
              <w:t>、</w:t>
            </w:r>
            <w:r>
              <w:rPr>
                <w:rFonts w:ascii="宋体" w:hAnsi="宋体"/>
                <w:szCs w:val="21"/>
              </w:rPr>
              <w:t>GB 8624-2012</w:t>
            </w:r>
            <w:r>
              <w:rPr>
                <w:rFonts w:hint="eastAsia" w:ascii="宋体" w:hAnsi="宋体"/>
                <w:szCs w:val="21"/>
              </w:rPr>
              <w:t>、</w:t>
            </w:r>
            <w:r>
              <w:rPr>
                <w:rFonts w:ascii="宋体" w:hAnsi="宋体"/>
                <w:szCs w:val="21"/>
              </w:rPr>
              <w:t>GB/T 11718-2021</w:t>
            </w:r>
            <w:r>
              <w:rPr>
                <w:rFonts w:hint="eastAsia" w:ascii="宋体" w:hAnsi="宋体"/>
                <w:szCs w:val="21"/>
              </w:rPr>
              <w:t>、</w:t>
            </w:r>
            <w:r>
              <w:rPr>
                <w:rFonts w:ascii="宋体" w:hAnsi="宋体"/>
                <w:szCs w:val="21"/>
              </w:rPr>
              <w:t>HJ571-2010</w:t>
            </w:r>
            <w:r>
              <w:rPr>
                <w:rFonts w:hint="eastAsia" w:ascii="宋体" w:hAnsi="宋体"/>
                <w:szCs w:val="21"/>
              </w:rPr>
              <w:t>、</w:t>
            </w:r>
            <w:r>
              <w:rPr>
                <w:rFonts w:ascii="宋体" w:hAnsi="宋体"/>
                <w:szCs w:val="21"/>
              </w:rPr>
              <w:t>GB/T17657-2022</w:t>
            </w:r>
            <w:r>
              <w:rPr>
                <w:rFonts w:hint="eastAsia" w:ascii="宋体" w:hAnsi="宋体"/>
                <w:szCs w:val="21"/>
              </w:rPr>
              <w:t>、</w:t>
            </w:r>
            <w:r>
              <w:rPr>
                <w:rFonts w:ascii="宋体" w:hAnsi="宋体"/>
                <w:szCs w:val="21"/>
              </w:rPr>
              <w:t>GB/T 29899-2024</w:t>
            </w:r>
            <w:r>
              <w:rPr>
                <w:rFonts w:hint="eastAsia" w:ascii="宋体" w:hAnsi="宋体"/>
                <w:szCs w:val="21"/>
              </w:rPr>
              <w:t>、</w:t>
            </w:r>
            <w:r>
              <w:rPr>
                <w:rFonts w:ascii="宋体" w:hAnsi="宋体"/>
                <w:szCs w:val="21"/>
              </w:rPr>
              <w:t>GB/T42998-2023</w:t>
            </w:r>
            <w:r>
              <w:rPr>
                <w:rFonts w:hint="eastAsia" w:ascii="宋体" w:hAnsi="宋体"/>
                <w:szCs w:val="21"/>
              </w:rPr>
              <w:t>检测标准</w:t>
            </w:r>
            <w:r>
              <w:rPr>
                <w:rFonts w:hint="eastAsia" w:ascii="宋体" w:hAnsi="宋体" w:cs="宋体"/>
              </w:rPr>
              <w:t>（提供符合此数据相对应的检测报告）</w:t>
            </w:r>
          </w:p>
        </w:tc>
      </w:tr>
      <w:tr w14:paraId="07CA0D3A">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264DAD1F">
            <w:pPr>
              <w:widowControl/>
              <w:jc w:val="left"/>
              <w:textAlignment w:val="center"/>
              <w:rPr>
                <w:rFonts w:hint="eastAsia" w:ascii="宋体" w:hAnsi="宋体" w:cs="宋体"/>
              </w:rPr>
            </w:pPr>
            <w:r>
              <w:rPr>
                <w:rFonts w:hint="eastAsia" w:ascii="宋体" w:hAnsi="宋体" w:cs="宋体"/>
              </w:rPr>
              <w:t>“▲”4、</w:t>
            </w:r>
            <w:r>
              <w:rPr>
                <w:rFonts w:hint="eastAsia" w:ascii="宋体" w:hAnsi="宋体"/>
                <w:color w:val="000000" w:themeColor="text1"/>
                <w:szCs w:val="21"/>
                <w14:textFill>
                  <w14:solidFill>
                    <w14:schemeClr w14:val="tx1"/>
                  </w14:solidFill>
                </w14:textFill>
              </w:rPr>
              <w:t>皮革（牛皮）：</w:t>
            </w:r>
            <w:r>
              <w:rPr>
                <w:rFonts w:hint="eastAsia" w:ascii="宋体" w:hAnsi="宋体"/>
                <w:szCs w:val="21"/>
              </w:rPr>
              <w:t>摩擦色牢度：干擦500次≥5级、湿擦250次≥5级、碱性汗液80次≥5级；耐光性≥5级；耐折牢度：60000次无裂纹符合要求；撕裂力≥120N；涂层粘着牢度涂层粘着牢度≥5.0N/10mm；气味≤1级； 游离甲醛、禁用偶氮染料均为未检出；感官要求：全张革应厚薄基本均匀，无油腻感（油蜡革除外），革身应平整、柔软、丰满有弹性，正面革不应裂面、无管皱、主要部位不得松面。涂饰革涂饰均匀，不掉浆、不裂浆。绒面革绒毛均匀，颜色基本一致符合要求；五氯苯酚、邻苯基苯酚均未检出；外观：（花纹、颜色/光泽、边陷、表面缺陷）均符合要求；表面颜色牢度干摩擦4</w:t>
            </w:r>
            <w:r>
              <w:rPr>
                <w:rFonts w:ascii="宋体" w:hAnsi="宋体"/>
                <w:szCs w:val="21"/>
              </w:rPr>
              <w:t>-5</w:t>
            </w:r>
            <w:r>
              <w:rPr>
                <w:rFonts w:hint="eastAsia" w:ascii="宋体" w:hAnsi="宋体"/>
                <w:szCs w:val="21"/>
              </w:rPr>
              <w:t>级、湿摩擦4</w:t>
            </w:r>
            <w:r>
              <w:rPr>
                <w:rFonts w:ascii="宋体" w:hAnsi="宋体"/>
                <w:szCs w:val="21"/>
              </w:rPr>
              <w:t>-5</w:t>
            </w:r>
            <w:r>
              <w:rPr>
                <w:rFonts w:hint="eastAsia" w:ascii="宋体" w:hAnsi="宋体"/>
                <w:szCs w:val="21"/>
              </w:rPr>
              <w:t>级；材质鉴定为牛皮革；依据</w:t>
            </w:r>
            <w:r>
              <w:rPr>
                <w:rFonts w:ascii="宋体" w:hAnsi="宋体"/>
                <w:szCs w:val="21"/>
              </w:rPr>
              <w:t>GB/T 16799-2018</w:t>
            </w:r>
            <w:r>
              <w:rPr>
                <w:rFonts w:hint="eastAsia" w:ascii="宋体" w:hAnsi="宋体"/>
                <w:szCs w:val="21"/>
              </w:rPr>
              <w:t>、</w:t>
            </w:r>
            <w:r>
              <w:rPr>
                <w:rFonts w:ascii="宋体" w:hAnsi="宋体"/>
                <w:szCs w:val="21"/>
              </w:rPr>
              <w:t>GB/T 19941.2-2019</w:t>
            </w:r>
            <w:r>
              <w:rPr>
                <w:rFonts w:hint="eastAsia" w:ascii="宋体" w:hAnsi="宋体"/>
                <w:szCs w:val="21"/>
              </w:rPr>
              <w:t>、</w:t>
            </w:r>
            <w:r>
              <w:rPr>
                <w:rFonts w:ascii="宋体" w:hAnsi="宋体"/>
                <w:szCs w:val="21"/>
              </w:rPr>
              <w:t>GB/T 22808-2021</w:t>
            </w:r>
            <w:r>
              <w:rPr>
                <w:rFonts w:hint="eastAsia" w:ascii="宋体" w:hAnsi="宋体"/>
                <w:szCs w:val="21"/>
              </w:rPr>
              <w:t>、</w:t>
            </w:r>
            <w:r>
              <w:rPr>
                <w:rFonts w:ascii="宋体" w:hAnsi="宋体"/>
                <w:szCs w:val="21"/>
              </w:rPr>
              <w:t>GB/T 20386-2006</w:t>
            </w:r>
            <w:r>
              <w:rPr>
                <w:rFonts w:hint="eastAsia" w:ascii="宋体" w:hAnsi="宋体"/>
                <w:szCs w:val="21"/>
              </w:rPr>
              <w:t>、</w:t>
            </w:r>
            <w:r>
              <w:rPr>
                <w:rFonts w:ascii="宋体" w:hAnsi="宋体"/>
                <w:szCs w:val="21"/>
              </w:rPr>
              <w:t>GB/T 38408-2019</w:t>
            </w:r>
            <w:r>
              <w:rPr>
                <w:rFonts w:hint="eastAsia" w:ascii="宋体" w:hAnsi="宋体"/>
                <w:szCs w:val="21"/>
              </w:rPr>
              <w:t>、</w:t>
            </w:r>
            <w:r>
              <w:rPr>
                <w:rFonts w:ascii="宋体" w:hAnsi="宋体"/>
                <w:szCs w:val="21"/>
              </w:rPr>
              <w:t>QB/T 5253.1-2018</w:t>
            </w:r>
            <w:r>
              <w:rPr>
                <w:rFonts w:hint="eastAsia" w:ascii="宋体" w:hAnsi="宋体"/>
                <w:szCs w:val="21"/>
              </w:rPr>
              <w:t>检测标准</w:t>
            </w:r>
            <w:r>
              <w:rPr>
                <w:rFonts w:hint="eastAsia" w:ascii="宋体" w:hAnsi="宋体" w:cs="宋体"/>
              </w:rPr>
              <w:t>（提供符合此数据相对应的检测报告）</w:t>
            </w:r>
          </w:p>
        </w:tc>
      </w:tr>
      <w:tr w14:paraId="334C9859">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4128C93D">
            <w:pPr>
              <w:rPr>
                <w:rFonts w:hint="eastAsia" w:ascii="宋体" w:hAnsi="宋体"/>
                <w:szCs w:val="21"/>
              </w:rPr>
            </w:pPr>
            <w:r>
              <w:rPr>
                <w:rFonts w:hint="eastAsia" w:ascii="宋体" w:hAnsi="宋体" w:cs="宋体"/>
              </w:rPr>
              <w:t>“▲”5、</w:t>
            </w:r>
            <w:r>
              <w:rPr>
                <w:rFonts w:hint="eastAsia" w:ascii="宋体" w:hAnsi="宋体"/>
                <w:color w:val="000000" w:themeColor="text1"/>
                <w:szCs w:val="21"/>
                <w14:textFill>
                  <w14:solidFill>
                    <w14:schemeClr w14:val="tx1"/>
                  </w14:solidFill>
                </w14:textFill>
              </w:rPr>
              <w:t>阻燃海绵：</w:t>
            </w:r>
            <w:r>
              <w:rPr>
                <w:rFonts w:hint="eastAsia" w:ascii="宋体" w:hAnsi="宋体"/>
                <w:szCs w:val="21"/>
              </w:rPr>
              <w:t>25%压陷硬度≥133N；密度≥50 kg/m³；65%/25%压陷比≥3.2；75%压缩永久变形≤3%；回弹率≥50%；拉伸强度≥192Kpa；断裂伸长率≥170%；撕裂强度≥4.1N/cm；干热老化后拉伸强度≥135 Kpa；湿热老化后拉伸强度≥132 Kpa；外观和感官（色泽、气孔、裂缝、两侧表皮、污渍、气味）均符合要求；游离甲醛、TVOC、甲醛释放量、增塑剂均为未检出；重金属含量（铅、汞）均为未检出；挥发性气体（苯类）未检出；依据</w:t>
            </w:r>
            <w:r>
              <w:rPr>
                <w:rFonts w:ascii="宋体" w:hAnsi="宋体"/>
                <w:szCs w:val="21"/>
              </w:rPr>
              <w:t>GB 17927-2024</w:t>
            </w:r>
            <w:r>
              <w:rPr>
                <w:rFonts w:hint="eastAsia" w:ascii="宋体" w:hAnsi="宋体"/>
                <w:szCs w:val="21"/>
              </w:rPr>
              <w:t>、</w:t>
            </w:r>
            <w:r>
              <w:rPr>
                <w:rFonts w:ascii="宋体" w:hAnsi="宋体"/>
                <w:szCs w:val="21"/>
              </w:rPr>
              <w:t>GB/T 10802-2023</w:t>
            </w:r>
            <w:r>
              <w:rPr>
                <w:rFonts w:hint="eastAsia" w:ascii="宋体" w:hAnsi="宋体"/>
                <w:szCs w:val="21"/>
              </w:rPr>
              <w:t xml:space="preserve">、 GB/T29288-2012、GB/T37866-2019、 </w:t>
            </w:r>
            <w:r>
              <w:rPr>
                <w:rFonts w:ascii="宋体" w:hAnsi="宋体"/>
                <w:szCs w:val="21"/>
              </w:rPr>
              <w:t>QB/T 2280-2016</w:t>
            </w:r>
            <w:r>
              <w:rPr>
                <w:rFonts w:hint="eastAsia" w:ascii="宋体" w:hAnsi="宋体"/>
                <w:szCs w:val="21"/>
              </w:rPr>
              <w:t>检测标准</w:t>
            </w:r>
            <w:r>
              <w:rPr>
                <w:rFonts w:hint="eastAsia" w:ascii="宋体" w:hAnsi="宋体" w:cs="宋体"/>
              </w:rPr>
              <w:t>（提供符合此数据相对应的检测报告）</w:t>
            </w:r>
          </w:p>
        </w:tc>
      </w:tr>
      <w:tr w14:paraId="28C9DAA5">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46A848FF">
            <w:pPr>
              <w:rPr>
                <w:rFonts w:hint="eastAsia" w:ascii="宋体" w:hAnsi="宋体" w:cs="宋体"/>
              </w:rPr>
            </w:pPr>
            <w:r>
              <w:rPr>
                <w:rFonts w:hint="eastAsia" w:ascii="宋体" w:hAnsi="宋体" w:cs="宋体"/>
              </w:rPr>
              <w:t>“▲”6、</w:t>
            </w:r>
            <w:r>
              <w:rPr>
                <w:rFonts w:hint="eastAsia" w:ascii="宋体" w:hAnsi="宋体"/>
                <w:color w:val="000000" w:themeColor="text1"/>
                <w:szCs w:val="21"/>
                <w14:textFill>
                  <w14:solidFill>
                    <w14:schemeClr w14:val="tx1"/>
                  </w14:solidFill>
                </w14:textFill>
              </w:rPr>
              <w:t>铝合金：</w:t>
            </w:r>
            <w:r>
              <w:rPr>
                <w:rFonts w:hint="eastAsia" w:ascii="宋体" w:hAnsi="宋体"/>
                <w:szCs w:val="21"/>
              </w:rPr>
              <w:t>产品外观性能要求：电镀件：无露底、毛刺、镀层脱落、锈蚀等。无起泡、烧焦、无光泽（整体异色）、针孔、裂纹、斑点；抗盐雾：直径1.5mm以下锈点≤20点/dm2，其中直径≥1.0mm锈点不超过5点（距边缘棱角2mm以内的不计）未见锈点；</w:t>
            </w:r>
            <w:r>
              <w:rPr>
                <w:rFonts w:ascii="宋体" w:hAnsi="宋体"/>
                <w:szCs w:val="21"/>
              </w:rPr>
              <w:t xml:space="preserve"> </w:t>
            </w:r>
            <w:r>
              <w:rPr>
                <w:rFonts w:hint="eastAsia" w:ascii="宋体" w:hAnsi="宋体"/>
                <w:szCs w:val="21"/>
              </w:rPr>
              <w:t>铝合金部件：部件表面应清洁，无裂纹、腐蚀斑点、部件表面应无起皮、气泡符合要求；安全性：其他所有的边应圆滑、无毛刺符合要求；铝合金晶间腐蚀：24h未见晶间腐蚀裂纹；应力腐蚀性能（24h）：未见裂纹；</w:t>
            </w:r>
            <w:r>
              <w:rPr>
                <w:rFonts w:hint="eastAsia" w:ascii="宋体" w:hAnsi="宋体" w:cs="仿宋_GB2312"/>
                <w:kern w:val="0"/>
                <w:szCs w:val="21"/>
                <w14:ligatures w14:val="standardContextual"/>
              </w:rPr>
              <w:t>中性盐雾、乙酸盐雾试验均连续喷雾500h，涂层对基体的保护等级和涂层本身耐腐蚀等级均≥10级；</w:t>
            </w:r>
            <w:r>
              <w:rPr>
                <w:rFonts w:hint="eastAsia" w:ascii="宋体" w:hAnsi="宋体"/>
                <w:szCs w:val="21"/>
              </w:rPr>
              <w:t>依据</w:t>
            </w:r>
            <w:r>
              <w:rPr>
                <w:rFonts w:ascii="宋体" w:hAnsi="宋体"/>
                <w:szCs w:val="21"/>
              </w:rPr>
              <w:t>GB/T 3325-2024</w:t>
            </w:r>
            <w:r>
              <w:rPr>
                <w:rFonts w:hint="eastAsia" w:ascii="宋体" w:hAnsi="宋体"/>
                <w:szCs w:val="21"/>
              </w:rPr>
              <w:t>、</w:t>
            </w:r>
            <w:r>
              <w:rPr>
                <w:rFonts w:ascii="宋体" w:hAnsi="宋体"/>
                <w:szCs w:val="21"/>
              </w:rPr>
              <w:t>QB/T 3826-1999</w:t>
            </w:r>
            <w:r>
              <w:rPr>
                <w:rFonts w:hint="eastAsia" w:ascii="宋体" w:hAnsi="宋体"/>
                <w:szCs w:val="21"/>
              </w:rPr>
              <w:t>、QB/T 3827-1999、</w:t>
            </w:r>
            <w:r>
              <w:rPr>
                <w:rFonts w:ascii="宋体" w:hAnsi="宋体"/>
                <w:szCs w:val="21"/>
              </w:rPr>
              <w:t>QB/T 3832-1999</w:t>
            </w:r>
            <w:r>
              <w:rPr>
                <w:rFonts w:hint="eastAsia" w:ascii="宋体" w:hAnsi="宋体"/>
                <w:szCs w:val="21"/>
              </w:rPr>
              <w:t>、GB/T 7998-2023、</w:t>
            </w:r>
            <w:r>
              <w:rPr>
                <w:rFonts w:ascii="宋体" w:hAnsi="宋体"/>
                <w:szCs w:val="21"/>
              </w:rPr>
              <w:t>GB/T 22640-2023</w:t>
            </w:r>
            <w:r>
              <w:rPr>
                <w:rFonts w:hint="eastAsia" w:ascii="宋体" w:hAnsi="宋体"/>
                <w:szCs w:val="21"/>
              </w:rPr>
              <w:t>检测标准</w:t>
            </w:r>
            <w:r>
              <w:rPr>
                <w:rFonts w:hint="eastAsia" w:ascii="宋体" w:hAnsi="宋体" w:cs="宋体"/>
              </w:rPr>
              <w:t>（提供符合此数据相对应的检测报告）</w:t>
            </w:r>
          </w:p>
        </w:tc>
      </w:tr>
      <w:tr w14:paraId="2F04C7B3">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4AB8A56A">
            <w:pPr>
              <w:rPr>
                <w:rFonts w:hint="eastAsia" w:ascii="宋体" w:hAnsi="宋体" w:cs="宋体"/>
              </w:rPr>
            </w:pPr>
            <w:r>
              <w:rPr>
                <w:rFonts w:hint="eastAsia" w:ascii="宋体" w:hAnsi="宋体" w:cs="宋体"/>
              </w:rPr>
              <w:t>“▲”7、</w:t>
            </w:r>
            <w:r>
              <w:rPr>
                <w:rFonts w:hint="eastAsia" w:ascii="宋体" w:hAnsi="宋体"/>
                <w:color w:val="000000" w:themeColor="text1"/>
                <w:szCs w:val="21"/>
                <w14:textFill>
                  <w14:solidFill>
                    <w14:schemeClr w14:val="tx1"/>
                  </w14:solidFill>
                </w14:textFill>
              </w:rPr>
              <w:t>实木</w:t>
            </w:r>
            <w:bookmarkStart w:id="47" w:name="_GoBack"/>
            <w:bookmarkEnd w:id="47"/>
            <w:r>
              <w:rPr>
                <w:rFonts w:hint="eastAsia" w:ascii="宋体" w:hAnsi="宋体"/>
                <w:color w:val="000000" w:themeColor="text1"/>
                <w:szCs w:val="21"/>
                <w14:textFill>
                  <w14:solidFill>
                    <w14:schemeClr w14:val="tx1"/>
                  </w14:solidFill>
                </w14:textFill>
              </w:rPr>
              <w:t>：</w:t>
            </w:r>
            <w:r>
              <w:rPr>
                <w:rFonts w:hint="eastAsia" w:ascii="宋体" w:hAnsi="宋体"/>
                <w:szCs w:val="21"/>
              </w:rPr>
              <w:t>外观要求：木材（贯通裂缝、虫蛀、腐朽材、树脂囊、节子、死节、孔洞、夹皮和树脂道、树胶道、其他轻微材质缺陷）均符合要求；含水率≤6.5%；甲醛释放量、五氯苯酚含量均为未检出；木材名称（木种鉴定）：壳斗科栎属栎木</w:t>
            </w:r>
            <w:r>
              <w:rPr>
                <w:rFonts w:ascii="宋体" w:hAnsi="宋体"/>
                <w:i/>
                <w:iCs/>
                <w:szCs w:val="21"/>
              </w:rPr>
              <w:t xml:space="preserve">Quercus </w:t>
            </w:r>
            <w:r>
              <w:rPr>
                <w:rFonts w:hint="eastAsia" w:ascii="宋体" w:hAnsi="宋体"/>
                <w:szCs w:val="21"/>
              </w:rPr>
              <w:t>spp.；挥发性有机化合物释放浓度7d（苯、甲苯、二甲苯、总挥发性有机化合物（TVOC））均为未检出；氨释放量（干燥器法）未检出；木材抗弯弹性模量≥11560MPa；燃烧性能等级B1（B）级（燃烧增长速率指数</w:t>
            </w:r>
            <w:r>
              <w:rPr>
                <w:rFonts w:ascii="宋体" w:hAnsi="宋体"/>
                <w:szCs w:val="21"/>
              </w:rPr>
              <w:t>96W/s</w:t>
            </w:r>
            <w:r>
              <w:rPr>
                <w:rFonts w:hint="eastAsia" w:ascii="宋体" w:hAnsi="宋体"/>
                <w:szCs w:val="21"/>
              </w:rPr>
              <w:t>、火焰横向蔓延是否到达试样长翼边缘符合要求、600s的总放热量≤6.5</w:t>
            </w:r>
            <w:r>
              <w:rPr>
                <w:rFonts w:hint="eastAsia" w:ascii="TimesNewRomanPSMT" w:hAnsi="TimesNewRomanPSMT" w:cs="TimesNewRomanPSMT" w:eastAsiaTheme="minorEastAsia"/>
                <w:kern w:val="0"/>
                <w:szCs w:val="21"/>
                <w14:ligatures w14:val="standardContextual"/>
              </w:rPr>
              <w:t xml:space="preserve"> </w:t>
            </w:r>
            <w:r>
              <w:rPr>
                <w:rFonts w:hint="eastAsia" w:ascii="宋体" w:hAnsi="宋体"/>
                <w:szCs w:val="21"/>
              </w:rPr>
              <w:t>MJ、60s内焰尖高度Fs≤150mm、60s内无燃烧滴落物引燃滤纸现象符合要求）；依据GB 18580-2017、GB/T 39600-2021、GB/T 3324-2024、GB/T 18513-2022、GB 8624-2012、GB/T 35601-2024检测标准。</w:t>
            </w:r>
            <w:r>
              <w:rPr>
                <w:rFonts w:hint="eastAsia" w:ascii="宋体" w:hAnsi="宋体" w:cs="宋体"/>
              </w:rPr>
              <w:t>（提供符合此数据相对应的检测报告）</w:t>
            </w:r>
          </w:p>
        </w:tc>
      </w:tr>
      <w:tr w14:paraId="518F605D">
        <w:tblPrEx>
          <w:tblCellMar>
            <w:top w:w="0" w:type="dxa"/>
            <w:left w:w="108" w:type="dxa"/>
            <w:bottom w:w="0" w:type="dxa"/>
            <w:right w:w="108" w:type="dxa"/>
          </w:tblCellMar>
        </w:tblPrEx>
        <w:trPr>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6D1D104A">
            <w:pPr>
              <w:rPr>
                <w:rFonts w:hint="eastAsia" w:ascii="宋体" w:hAnsi="宋体"/>
                <w:color w:val="000000" w:themeColor="text1"/>
                <w:szCs w:val="21"/>
                <w14:textFill>
                  <w14:solidFill>
                    <w14:schemeClr w14:val="tx1"/>
                  </w14:solidFill>
                </w14:textFill>
              </w:rPr>
            </w:pPr>
            <w:r>
              <w:rPr>
                <w:rFonts w:hint="eastAsia" w:ascii="宋体" w:hAnsi="宋体" w:cs="宋体"/>
              </w:rPr>
              <w:t>“▲”8、</w:t>
            </w:r>
            <w:r>
              <w:rPr>
                <w:rFonts w:hint="eastAsia" w:ascii="宋体" w:hAnsi="宋体"/>
                <w:color w:val="000000" w:themeColor="text1"/>
                <w:szCs w:val="21"/>
                <w14:textFill>
                  <w14:solidFill>
                    <w14:schemeClr w14:val="tx1"/>
                  </w14:solidFill>
                </w14:textFill>
              </w:rPr>
              <w:t>缓冲导轨：</w:t>
            </w:r>
            <w:r>
              <w:rPr>
                <w:rFonts w:hint="eastAsia" w:ascii="宋体" w:hAnsi="宋体"/>
                <w:szCs w:val="21"/>
              </w:rPr>
              <w:t>金属件喷漆（塑）涂层：无漏喷、锈蚀、脱色、掉色、光滑均匀，色泽一致，应无流挂、疙瘩、皱皮、飞漆符合要求；可溶性元素（铅，镉、铬、汞）均未检出；过载-垂直向下静载荷≥300N（10次）、水平侧向静载荷≥150N（各加载5次）均符合要求；过载-猛关或猛开：猛关或猛开抽屉导轨各10次。（因子K=2.5）符合要求；功能-耐久性:</w:t>
            </w:r>
            <w:r>
              <w:rPr>
                <w:rFonts w:hint="eastAsia"/>
                <w:szCs w:val="21"/>
              </w:rPr>
              <w:t xml:space="preserve"> </w:t>
            </w:r>
            <w:r>
              <w:rPr>
                <w:rFonts w:hint="eastAsia" w:ascii="宋体" w:hAnsi="宋体"/>
                <w:szCs w:val="21"/>
              </w:rPr>
              <w:t>20万次或以上试验后未见断裂或缺陷；力学性能：断后伸长率≥3</w:t>
            </w:r>
            <w:r>
              <w:rPr>
                <w:rFonts w:ascii="宋体" w:hAnsi="宋体"/>
                <w:szCs w:val="21"/>
              </w:rPr>
              <w:t>8%</w:t>
            </w:r>
            <w:r>
              <w:rPr>
                <w:rFonts w:hint="eastAsia" w:ascii="宋体" w:hAnsi="宋体"/>
                <w:szCs w:val="21"/>
              </w:rPr>
              <w:t>、抗拉强度≥</w:t>
            </w:r>
            <w:r>
              <w:rPr>
                <w:rFonts w:ascii="宋体" w:hAnsi="宋体"/>
                <w:szCs w:val="21"/>
              </w:rPr>
              <w:t>515</w:t>
            </w:r>
            <w:r>
              <w:rPr>
                <w:rFonts w:hint="eastAsia" w:ascii="宋体" w:hAnsi="宋体"/>
                <w:szCs w:val="21"/>
              </w:rPr>
              <w:t>MPa；拉伸试验：下屈服强度≥</w:t>
            </w:r>
            <w:r>
              <w:rPr>
                <w:rFonts w:ascii="宋体" w:hAnsi="宋体"/>
                <w:szCs w:val="21"/>
              </w:rPr>
              <w:t>3</w:t>
            </w:r>
            <w:r>
              <w:rPr>
                <w:rFonts w:hint="eastAsia" w:ascii="宋体" w:hAnsi="宋体"/>
                <w:szCs w:val="21"/>
              </w:rPr>
              <w:t>17MPa；旋转疲劳测试（30万次）无裂纹、无断裂；二氧化硫腐蚀试验24h未见红锈；</w:t>
            </w:r>
            <w:r>
              <w:rPr>
                <w:rFonts w:hint="eastAsia" w:ascii="宋体" w:hAnsi="宋体" w:cs="仿宋_GB2312"/>
                <w:kern w:val="0"/>
                <w:szCs w:val="21"/>
                <w14:ligatures w14:val="standardContextual"/>
              </w:rPr>
              <w:t>中性盐雾、乙酸盐雾、铜加速乙酸盐雾及铜盐加速乙酸盐雾试验均连续喷雾500h，涂层对基体的保护等级和涂层本身耐腐蚀等级及性能评级均≥10级；</w:t>
            </w:r>
            <w:r>
              <w:rPr>
                <w:rFonts w:hint="eastAsia" w:ascii="宋体" w:hAnsi="宋体"/>
                <w:szCs w:val="21"/>
              </w:rPr>
              <w:t>依据</w:t>
            </w:r>
            <w:r>
              <w:rPr>
                <w:rFonts w:ascii="宋体" w:hAnsi="宋体" w:cs="TimesNewRomanPSMT"/>
                <w:kern w:val="0"/>
                <w:szCs w:val="21"/>
                <w14:ligatures w14:val="standardContextual"/>
              </w:rPr>
              <w:t>GB/T 3325-2024</w:t>
            </w:r>
            <w:r>
              <w:rPr>
                <w:rFonts w:hint="eastAsia" w:ascii="宋体" w:hAnsi="宋体" w:cs="FZFSK--GBK1-0"/>
                <w:kern w:val="0"/>
                <w:szCs w:val="21"/>
                <w14:ligatures w14:val="standardContextual"/>
              </w:rPr>
              <w:t>、QB/T 2454-2013、</w:t>
            </w:r>
            <w:r>
              <w:rPr>
                <w:rFonts w:ascii="宋体" w:hAnsi="宋体" w:cs="FZFSK--GBK1-0"/>
                <w:kern w:val="0"/>
                <w:szCs w:val="21"/>
                <w14:ligatures w14:val="standardContextual"/>
              </w:rPr>
              <w:t>QB/T 4767-2014</w:t>
            </w:r>
            <w:r>
              <w:rPr>
                <w:rFonts w:hint="eastAsia" w:ascii="宋体" w:hAnsi="宋体" w:cs="FZFSK--GBK1-0"/>
                <w:kern w:val="0"/>
                <w:szCs w:val="21"/>
                <w14:ligatures w14:val="standardContextual"/>
              </w:rPr>
              <w:t>、</w:t>
            </w:r>
            <w:r>
              <w:rPr>
                <w:rFonts w:ascii="宋体" w:hAnsi="宋体" w:cs="FZFSK--GBK1-0"/>
                <w:kern w:val="0"/>
                <w:szCs w:val="21"/>
                <w14:ligatures w14:val="standardContextual"/>
              </w:rPr>
              <w:t>GB/T 10125-2021</w:t>
            </w:r>
            <w:r>
              <w:rPr>
                <w:rFonts w:hint="eastAsia" w:ascii="宋体" w:hAnsi="宋体" w:cs="FZFSK--GBK1-0"/>
                <w:kern w:val="0"/>
                <w:szCs w:val="21"/>
                <w14:ligatures w14:val="standardContextual"/>
              </w:rPr>
              <w:t>、GB/T 6461-2002、</w:t>
            </w:r>
            <w:r>
              <w:rPr>
                <w:rFonts w:ascii="宋体" w:hAnsi="宋体" w:cs="FZFSK--GBK1-0"/>
                <w:kern w:val="0"/>
                <w:szCs w:val="21"/>
                <w14:ligatures w14:val="standardContextual"/>
              </w:rPr>
              <w:t>GB/T 3280-2015</w:t>
            </w:r>
            <w:r>
              <w:rPr>
                <w:rFonts w:hint="eastAsia" w:ascii="宋体" w:hAnsi="宋体"/>
                <w:szCs w:val="21"/>
              </w:rPr>
              <w:t>检测标准。</w:t>
            </w:r>
            <w:r>
              <w:rPr>
                <w:rFonts w:hint="eastAsia" w:ascii="宋体" w:hAnsi="宋体" w:cs="宋体"/>
              </w:rPr>
              <w:t>（提供符合此数据相对应的检测报告）</w:t>
            </w:r>
          </w:p>
        </w:tc>
      </w:tr>
      <w:tr w14:paraId="7DBACA8F">
        <w:tblPrEx>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738357B7">
            <w:pPr>
              <w:widowControl/>
              <w:jc w:val="left"/>
              <w:textAlignment w:val="center"/>
              <w:rPr>
                <w:rFonts w:hint="eastAsia" w:ascii="宋体" w:hAnsi="宋体" w:cs="宋体"/>
                <w:sz w:val="22"/>
              </w:rPr>
            </w:pPr>
            <w:r>
              <w:rPr>
                <w:rFonts w:hint="eastAsia" w:ascii="宋体" w:hAnsi="宋体" w:cs="宋体"/>
              </w:rPr>
              <w:t>“▲”9、</w:t>
            </w:r>
            <w:r>
              <w:rPr>
                <w:rFonts w:hint="eastAsia" w:ascii="宋体" w:hAnsi="宋体"/>
                <w:color w:val="000000" w:themeColor="text1"/>
                <w:szCs w:val="21"/>
                <w14:textFill>
                  <w14:solidFill>
                    <w14:schemeClr w14:val="tx1"/>
                  </w14:solidFill>
                </w14:textFill>
              </w:rPr>
              <w:t>缓冲门铰：</w:t>
            </w:r>
            <w:r>
              <w:rPr>
                <w:rFonts w:hint="eastAsia" w:ascii="宋体" w:hAnsi="宋体"/>
                <w:szCs w:val="21"/>
              </w:rPr>
              <w:t>金属件喷漆（塑）涂层：无漏喷、锈蚀、脱色、掉色、光滑均匀，色泽一致，应无流挂、疙瘩、皱皮、飞漆；可溶性元素（铅，镉、铬、汞）均未检出；过载：垂直静载荷、水平静载荷均合格；过载-垂直静载荷：30kg（往复启闭门10次）符合要求；过载-水平静载荷：70N（试验进行10次）符合要求；功能-耐久性：</w:t>
            </w:r>
            <w:bookmarkStart w:id="16" w:name="OLE_LINK5"/>
            <w:r>
              <w:rPr>
                <w:rFonts w:hint="eastAsia" w:ascii="宋体" w:hAnsi="宋体"/>
                <w:szCs w:val="21"/>
              </w:rPr>
              <w:t>20万次或以上试验后未见断裂或缺陷</w:t>
            </w:r>
            <w:bookmarkEnd w:id="16"/>
            <w:r>
              <w:rPr>
                <w:rFonts w:hint="eastAsia" w:ascii="宋体" w:hAnsi="宋体"/>
                <w:szCs w:val="21"/>
              </w:rPr>
              <w:t>；功能-垂直静载荷：20kg（往复启闭门10次）符合要求；功能-水平静载荷：40N（试验进行10次）符合要求；力学性能：断后伸长率≥3</w:t>
            </w:r>
            <w:r>
              <w:rPr>
                <w:rFonts w:ascii="宋体" w:hAnsi="宋体"/>
                <w:szCs w:val="21"/>
              </w:rPr>
              <w:t>8%</w:t>
            </w:r>
            <w:r>
              <w:rPr>
                <w:rFonts w:hint="eastAsia" w:ascii="宋体" w:hAnsi="宋体"/>
                <w:szCs w:val="21"/>
              </w:rPr>
              <w:t>、抗拉强度≥</w:t>
            </w:r>
            <w:r>
              <w:rPr>
                <w:rFonts w:ascii="宋体" w:hAnsi="宋体"/>
                <w:szCs w:val="21"/>
              </w:rPr>
              <w:t>515</w:t>
            </w:r>
            <w:r>
              <w:rPr>
                <w:rFonts w:hint="eastAsia" w:ascii="宋体" w:hAnsi="宋体"/>
                <w:szCs w:val="21"/>
              </w:rPr>
              <w:t>MPa；拉伸试验：下屈服强度≥</w:t>
            </w:r>
            <w:r>
              <w:rPr>
                <w:rFonts w:ascii="宋体" w:hAnsi="宋体"/>
                <w:szCs w:val="21"/>
              </w:rPr>
              <w:t>300</w:t>
            </w:r>
            <w:r>
              <w:rPr>
                <w:rFonts w:hint="eastAsia" w:ascii="宋体" w:hAnsi="宋体"/>
                <w:szCs w:val="21"/>
              </w:rPr>
              <w:t>MPa；旋转疲劳测试（30万次）无裂纹、无断裂；二氧化硫腐蚀试验24h未见红锈；</w:t>
            </w:r>
            <w:r>
              <w:rPr>
                <w:rFonts w:hint="eastAsia" w:ascii="宋体" w:hAnsi="宋体" w:cs="仿宋_GB2312"/>
                <w:kern w:val="0"/>
                <w:szCs w:val="21"/>
                <w14:ligatures w14:val="standardContextual"/>
              </w:rPr>
              <w:t>中性盐雾、乙酸盐雾、铜加速乙酸盐雾及铜盐加速乙酸盐雾试验均连续喷雾500h，涂层对基体的保护等级和涂层本身耐腐蚀等级及性能评级均≥10级；</w:t>
            </w:r>
            <w:r>
              <w:rPr>
                <w:rFonts w:hint="eastAsia" w:ascii="宋体" w:hAnsi="宋体"/>
                <w:szCs w:val="21"/>
              </w:rPr>
              <w:t>依据</w:t>
            </w:r>
            <w:r>
              <w:rPr>
                <w:rFonts w:ascii="宋体" w:hAnsi="宋体" w:cs="TimesNewRomanPSMT"/>
                <w:kern w:val="0"/>
                <w:szCs w:val="21"/>
                <w14:ligatures w14:val="standardContextual"/>
              </w:rPr>
              <w:t>GB/T 3325-2024</w:t>
            </w:r>
            <w:r>
              <w:rPr>
                <w:rFonts w:hint="eastAsia" w:ascii="宋体" w:hAnsi="宋体" w:cs="FZFSK--GBK1-0"/>
                <w:kern w:val="0"/>
                <w:szCs w:val="21"/>
                <w14:ligatures w14:val="standardContextual"/>
              </w:rPr>
              <w:t>、QB/T 2454-2013、</w:t>
            </w:r>
            <w:r>
              <w:rPr>
                <w:rFonts w:ascii="宋体" w:hAnsi="宋体" w:cs="FZFSK--GBK1-0"/>
                <w:kern w:val="0"/>
                <w:szCs w:val="21"/>
                <w14:ligatures w14:val="standardContextual"/>
              </w:rPr>
              <w:t>QB/T 4767-2014</w:t>
            </w:r>
            <w:r>
              <w:rPr>
                <w:rFonts w:hint="eastAsia" w:ascii="宋体" w:hAnsi="宋体" w:cs="FZFSK--GBK1-0"/>
                <w:kern w:val="0"/>
                <w:szCs w:val="21"/>
                <w14:ligatures w14:val="standardContextual"/>
              </w:rPr>
              <w:t>、</w:t>
            </w:r>
            <w:r>
              <w:rPr>
                <w:rFonts w:ascii="宋体" w:hAnsi="宋体" w:cs="FZFSK--GBK1-0"/>
                <w:kern w:val="0"/>
                <w:szCs w:val="21"/>
                <w14:ligatures w14:val="standardContextual"/>
              </w:rPr>
              <w:t>GB/T 10125-2021</w:t>
            </w:r>
            <w:r>
              <w:rPr>
                <w:rFonts w:hint="eastAsia" w:ascii="宋体" w:hAnsi="宋体" w:cs="FZFSK--GBK1-0"/>
                <w:kern w:val="0"/>
                <w:szCs w:val="21"/>
                <w14:ligatures w14:val="standardContextual"/>
              </w:rPr>
              <w:t>、GB/T 6461-2002、</w:t>
            </w:r>
            <w:r>
              <w:rPr>
                <w:rFonts w:ascii="宋体" w:hAnsi="宋体" w:cs="FZFSK--GBK1-0"/>
                <w:kern w:val="0"/>
                <w:szCs w:val="21"/>
                <w14:ligatures w14:val="standardContextual"/>
              </w:rPr>
              <w:t>GB/T 3280-2015</w:t>
            </w:r>
            <w:r>
              <w:rPr>
                <w:rFonts w:hint="eastAsia" w:ascii="宋体" w:hAnsi="宋体"/>
                <w:szCs w:val="21"/>
              </w:rPr>
              <w:t>检测标准。</w:t>
            </w:r>
            <w:r>
              <w:rPr>
                <w:rFonts w:hint="eastAsia" w:ascii="宋体" w:hAnsi="宋体" w:cs="宋体"/>
              </w:rPr>
              <w:t>（提供符合此数据相对应的检测报告）</w:t>
            </w:r>
          </w:p>
        </w:tc>
      </w:tr>
      <w:tr w14:paraId="7F09072F">
        <w:tblPrEx>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12DB5120">
            <w:pPr>
              <w:widowControl/>
              <w:jc w:val="left"/>
              <w:textAlignment w:val="center"/>
              <w:rPr>
                <w:rFonts w:hint="eastAsia" w:ascii="宋体" w:hAnsi="宋体"/>
                <w:color w:val="000000" w:themeColor="text1"/>
                <w:szCs w:val="21"/>
                <w14:textFill>
                  <w14:solidFill>
                    <w14:schemeClr w14:val="tx1"/>
                  </w14:solidFill>
                </w14:textFill>
              </w:rPr>
            </w:pPr>
            <w:r>
              <w:rPr>
                <w:rFonts w:hint="eastAsia" w:ascii="宋体" w:hAnsi="宋体" w:cs="宋体"/>
              </w:rPr>
              <w:t>“▲”10、</w:t>
            </w:r>
            <w:r>
              <w:rPr>
                <w:rFonts w:hint="eastAsia" w:ascii="宋体" w:hAnsi="宋体"/>
                <w:color w:val="000000" w:themeColor="text1"/>
                <w:szCs w:val="21"/>
                <w14:textFill>
                  <w14:solidFill>
                    <w14:schemeClr w14:val="tx1"/>
                  </w14:solidFill>
                </w14:textFill>
              </w:rPr>
              <w:t>锁具：</w:t>
            </w:r>
            <w:bookmarkStart w:id="17" w:name="OLE_LINK13"/>
            <w:r>
              <w:rPr>
                <w:rFonts w:hint="eastAsia" w:ascii="宋体" w:hAnsi="宋体"/>
                <w:szCs w:val="21"/>
              </w:rPr>
              <w:t>产品外观性能：管材、焊接件、冲压件、铸造件、铆接件、喷漆（塑）涂层、电镀件、合金件等其他金属件均符合要求；</w:t>
            </w:r>
            <w:bookmarkEnd w:id="17"/>
            <w:r>
              <w:rPr>
                <w:rFonts w:hint="eastAsia" w:ascii="宋体" w:hAnsi="宋体"/>
                <w:szCs w:val="21"/>
              </w:rPr>
              <w:t>涂层厚度≥105</w:t>
            </w:r>
            <w:r>
              <w:rPr>
                <w:rFonts w:ascii="宋体" w:hAnsi="宋体"/>
                <w:szCs w:val="21"/>
              </w:rPr>
              <w:t>μ</w:t>
            </w:r>
            <w:r>
              <w:rPr>
                <w:rFonts w:hint="eastAsia" w:ascii="宋体" w:hAnsi="宋体"/>
                <w:szCs w:val="21"/>
              </w:rPr>
              <w:t>m；锁头固定连接静拉力：锁头直径不大于20,mm，在承受140N后，无松动；旋转疲劳测试（30万次）无裂纹、无断裂；二氧化硫腐蚀试验：24h未见红锈；锁舌伸出长度：≥8</w:t>
            </w:r>
            <w:r>
              <w:rPr>
                <w:rFonts w:ascii="宋体" w:hAnsi="宋体"/>
                <w:szCs w:val="21"/>
              </w:rPr>
              <w:t>mm</w:t>
            </w:r>
            <w:r>
              <w:rPr>
                <w:rFonts w:hint="eastAsia" w:ascii="宋体" w:hAnsi="宋体"/>
                <w:szCs w:val="21"/>
              </w:rPr>
              <w:t>；叶片锁钥匙不同牙花数≥900种；叶片锁互开率0.01%；牢固度（锁头固定连接静拉力、锁头固定连接扭矩、锁头固定连接扭矩、锁舌侧向静载荷、叶片锁使用寿命）符合要求；灵活度（钥匙插拔、旋转、钥匙拔出静拉力、钥匙开启扭矩）符合要求；钥涂层附着力达到1级；</w:t>
            </w:r>
            <w:r>
              <w:rPr>
                <w:rFonts w:hint="eastAsia" w:ascii="宋体" w:hAnsi="宋体" w:cs="仿宋_GB2312"/>
                <w:kern w:val="0"/>
                <w:szCs w:val="21"/>
                <w14:ligatures w14:val="standardContextual"/>
              </w:rPr>
              <w:t>中性盐雾、乙酸盐雾、铜加速乙酸盐雾均连续喷雾500h，涂层对基体的保护等级和涂层本身耐腐蚀等级及性能评级均≥10级；</w:t>
            </w:r>
            <w:r>
              <w:rPr>
                <w:rFonts w:hint="eastAsia" w:ascii="宋体" w:hAnsi="宋体"/>
                <w:szCs w:val="21"/>
              </w:rPr>
              <w:t>依据</w:t>
            </w:r>
            <w:r>
              <w:rPr>
                <w:rFonts w:ascii="宋体" w:hAnsi="宋体"/>
                <w:szCs w:val="21"/>
              </w:rPr>
              <w:t>GB/T 3325-2024</w:t>
            </w:r>
            <w:r>
              <w:rPr>
                <w:rFonts w:hint="eastAsia" w:ascii="宋体" w:hAnsi="宋体"/>
                <w:szCs w:val="21"/>
              </w:rPr>
              <w:t>、</w:t>
            </w:r>
            <w:r>
              <w:rPr>
                <w:rFonts w:ascii="宋体" w:hAnsi="宋体"/>
                <w:szCs w:val="21"/>
              </w:rPr>
              <w:t>QB/T 1621-2015</w:t>
            </w:r>
            <w:r>
              <w:rPr>
                <w:rFonts w:hint="eastAsia" w:ascii="宋体" w:hAnsi="宋体"/>
                <w:szCs w:val="21"/>
              </w:rPr>
              <w:t>、</w:t>
            </w:r>
            <w:r>
              <w:rPr>
                <w:rFonts w:ascii="宋体" w:hAnsi="宋体"/>
                <w:szCs w:val="21"/>
              </w:rPr>
              <w:t>QB/T 4767-2014</w:t>
            </w:r>
            <w:r>
              <w:rPr>
                <w:rFonts w:hint="eastAsia" w:ascii="宋体" w:hAnsi="宋体"/>
                <w:szCs w:val="21"/>
              </w:rPr>
              <w:t>、</w:t>
            </w:r>
            <w:r>
              <w:rPr>
                <w:rFonts w:ascii="宋体" w:hAnsi="宋体"/>
                <w:szCs w:val="21"/>
              </w:rPr>
              <w:t>GB/T 10125-2021</w:t>
            </w:r>
            <w:r>
              <w:rPr>
                <w:rFonts w:hint="eastAsia" w:ascii="宋体" w:hAnsi="宋体"/>
                <w:szCs w:val="21"/>
              </w:rPr>
              <w:t>、GB/T 6461-2002</w:t>
            </w:r>
            <w:r>
              <w:rPr>
                <w:rFonts w:ascii="宋体" w:hAnsi="宋体"/>
                <w:szCs w:val="21"/>
              </w:rPr>
              <w:t>GB 21556-2008</w:t>
            </w:r>
            <w:r>
              <w:rPr>
                <w:rFonts w:hint="eastAsia" w:ascii="宋体" w:hAnsi="宋体"/>
                <w:szCs w:val="21"/>
              </w:rPr>
              <w:t>、</w:t>
            </w:r>
            <w:r>
              <w:rPr>
                <w:rFonts w:ascii="宋体" w:hAnsi="宋体"/>
                <w:szCs w:val="21"/>
              </w:rPr>
              <w:t>GB/T 4337-2015</w:t>
            </w:r>
            <w:r>
              <w:rPr>
                <w:rFonts w:hint="eastAsia" w:ascii="宋体" w:hAnsi="宋体"/>
                <w:szCs w:val="21"/>
              </w:rPr>
              <w:t>检测标准。</w:t>
            </w:r>
            <w:r>
              <w:rPr>
                <w:rFonts w:hint="eastAsia" w:ascii="宋体" w:hAnsi="宋体" w:cs="宋体"/>
              </w:rPr>
              <w:t>（提供符合此数据相对应的检测报告）</w:t>
            </w:r>
          </w:p>
        </w:tc>
      </w:tr>
      <w:tr w14:paraId="04B03022">
        <w:tblPrEx>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643DDA38">
            <w:pPr>
              <w:widowControl/>
              <w:jc w:val="left"/>
              <w:textAlignment w:val="center"/>
              <w:rPr>
                <w:rFonts w:hint="eastAsia" w:ascii="宋体" w:hAnsi="宋体"/>
                <w:color w:val="000000" w:themeColor="text1"/>
                <w:szCs w:val="21"/>
                <w14:textFill>
                  <w14:solidFill>
                    <w14:schemeClr w14:val="tx1"/>
                  </w14:solidFill>
                </w14:textFill>
              </w:rPr>
            </w:pPr>
            <w:r>
              <w:rPr>
                <w:rFonts w:hint="eastAsia" w:ascii="宋体" w:hAnsi="宋体" w:cs="宋体"/>
              </w:rPr>
              <w:t>“▲”11、</w:t>
            </w:r>
            <w:r>
              <w:rPr>
                <w:rFonts w:hint="eastAsia" w:ascii="宋体" w:hAnsi="宋体"/>
                <w:color w:val="000000" w:themeColor="text1"/>
                <w:szCs w:val="21"/>
                <w14:textFill>
                  <w14:solidFill>
                    <w14:schemeClr w14:val="tx1"/>
                  </w14:solidFill>
                </w14:textFill>
              </w:rPr>
              <w:t>拉手：</w:t>
            </w:r>
            <w:r>
              <w:rPr>
                <w:rFonts w:hint="eastAsia" w:ascii="宋体" w:hAnsi="宋体"/>
                <w:szCs w:val="21"/>
              </w:rPr>
              <w:t>产品外观性能要求：管材、焊接件、冲压件、铆接件、喷漆（塑）涂层、电镀件、合金件等其他金属件均符合要求；</w:t>
            </w:r>
            <w:r>
              <w:rPr>
                <w:rFonts w:hint="eastAsia" w:ascii="宋体" w:hAnsi="宋体" w:cs="仿宋_GB2312"/>
                <w:kern w:val="0"/>
                <w:szCs w:val="21"/>
                <w14:ligatures w14:val="standardContextual"/>
              </w:rPr>
              <w:t>中性盐雾、乙酸盐雾、铜盐加速乙酸盐雾试验均连续喷雾500h，涂层对基体的保护等级和涂层本身耐腐蚀等级及性能评级均≥10级；</w:t>
            </w:r>
            <w:r>
              <w:rPr>
                <w:rFonts w:hint="eastAsia" w:ascii="宋体" w:hAnsi="宋体"/>
                <w:szCs w:val="21"/>
              </w:rPr>
              <w:t>旋转疲劳测试（30万次）无裂纹、无断裂；二氧化硫腐蚀试验24h未见红锈；安装尺寸孔距、孔距公差均符合要求；依据</w:t>
            </w:r>
            <w:r>
              <w:rPr>
                <w:rFonts w:ascii="宋体" w:hAnsi="宋体"/>
                <w:szCs w:val="21"/>
              </w:rPr>
              <w:t>GB/T 3325-2024</w:t>
            </w:r>
            <w:r>
              <w:rPr>
                <w:rFonts w:hint="eastAsia" w:ascii="宋体" w:hAnsi="宋体"/>
                <w:szCs w:val="21"/>
              </w:rPr>
              <w:t>、</w:t>
            </w:r>
            <w:r>
              <w:rPr>
                <w:rFonts w:ascii="宋体" w:hAnsi="宋体"/>
                <w:szCs w:val="21"/>
              </w:rPr>
              <w:t>QB/T 4767-2014</w:t>
            </w:r>
            <w:r>
              <w:rPr>
                <w:rFonts w:hint="eastAsia" w:ascii="宋体" w:hAnsi="宋体"/>
                <w:szCs w:val="21"/>
              </w:rPr>
              <w:t>、</w:t>
            </w:r>
            <w:r>
              <w:rPr>
                <w:rFonts w:ascii="宋体" w:hAnsi="宋体"/>
                <w:szCs w:val="21"/>
              </w:rPr>
              <w:t>GB/T 10125-2021</w:t>
            </w:r>
            <w:r>
              <w:rPr>
                <w:rFonts w:hint="eastAsia" w:ascii="宋体" w:hAnsi="宋体"/>
                <w:szCs w:val="21"/>
              </w:rPr>
              <w:t>、</w:t>
            </w:r>
            <w:r>
              <w:rPr>
                <w:rFonts w:ascii="宋体" w:hAnsi="宋体"/>
                <w:szCs w:val="21"/>
              </w:rPr>
              <w:t>GB/T 6461-2002</w:t>
            </w:r>
            <w:r>
              <w:rPr>
                <w:rFonts w:hint="eastAsia" w:ascii="宋体" w:hAnsi="宋体"/>
                <w:szCs w:val="21"/>
              </w:rPr>
              <w:t>、</w:t>
            </w:r>
            <w:r>
              <w:rPr>
                <w:rFonts w:ascii="宋体" w:hAnsi="宋体"/>
                <w:szCs w:val="21"/>
              </w:rPr>
              <w:t>GB/T 4337-2015</w:t>
            </w:r>
            <w:r>
              <w:rPr>
                <w:rFonts w:hint="eastAsia" w:ascii="宋体" w:hAnsi="宋体"/>
                <w:szCs w:val="21"/>
              </w:rPr>
              <w:t>、</w:t>
            </w:r>
            <w:r>
              <w:rPr>
                <w:rFonts w:ascii="宋体" w:hAnsi="宋体"/>
                <w:szCs w:val="21"/>
              </w:rPr>
              <w:t>GB/T 9789-2008</w:t>
            </w:r>
            <w:r>
              <w:rPr>
                <w:rFonts w:hint="eastAsia" w:ascii="宋体" w:hAnsi="宋体"/>
                <w:szCs w:val="21"/>
              </w:rPr>
              <w:t>检测标准。</w:t>
            </w:r>
            <w:r>
              <w:rPr>
                <w:rFonts w:hint="eastAsia" w:ascii="宋体" w:hAnsi="宋体" w:cs="宋体"/>
              </w:rPr>
              <w:t>（提供符合此数据相对应的检测报告）</w:t>
            </w:r>
          </w:p>
        </w:tc>
      </w:tr>
      <w:tr w14:paraId="4ABDEC64">
        <w:tblPrEx>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4171FA98">
            <w:pPr>
              <w:widowControl/>
              <w:jc w:val="left"/>
              <w:textAlignment w:val="center"/>
              <w:rPr>
                <w:rFonts w:hint="eastAsia" w:ascii="宋体" w:hAnsi="宋体"/>
                <w:color w:val="000000" w:themeColor="text1"/>
                <w:szCs w:val="21"/>
                <w14:textFill>
                  <w14:solidFill>
                    <w14:schemeClr w14:val="tx1"/>
                  </w14:solidFill>
                </w14:textFill>
              </w:rPr>
            </w:pPr>
            <w:r>
              <w:rPr>
                <w:rFonts w:hint="eastAsia" w:ascii="宋体" w:hAnsi="宋体" w:cs="宋体"/>
              </w:rPr>
              <w:t>“▲”12、</w:t>
            </w:r>
            <w:r>
              <w:rPr>
                <w:rFonts w:hint="eastAsia" w:ascii="宋体" w:hAnsi="宋体"/>
                <w:color w:val="000000" w:themeColor="text1"/>
                <w:szCs w:val="21"/>
                <w14:textFill>
                  <w14:solidFill>
                    <w14:schemeClr w14:val="tx1"/>
                  </w14:solidFill>
                </w14:textFill>
              </w:rPr>
              <w:t>三合一连接件：</w:t>
            </w:r>
            <w:r>
              <w:rPr>
                <w:rFonts w:hint="eastAsia" w:ascii="宋体" w:hAnsi="宋体"/>
                <w:szCs w:val="21"/>
              </w:rPr>
              <w:t>产品外观性能：管材、焊接件、冲压件、铸造件、铆接件、喷漆（塑）涂层、电镀件、合金件等其他金属件均符合要求；</w:t>
            </w:r>
            <w:r>
              <w:rPr>
                <w:rFonts w:hint="eastAsia" w:ascii="宋体" w:hAnsi="宋体" w:cs="仿宋_GB2312"/>
                <w:kern w:val="0"/>
                <w:szCs w:val="21"/>
                <w14:ligatures w14:val="standardContextual"/>
              </w:rPr>
              <w:t>中性盐雾、乙酸盐雾、铜加速乙酸盐雾、铜盐加速乙酸盐雾试验均连续喷雾500h，涂层对基体的保护等级和涂层本身耐腐蚀等级及性能评级均≥10级；</w:t>
            </w:r>
            <w:r>
              <w:rPr>
                <w:rFonts w:hint="eastAsia" w:ascii="宋体" w:hAnsi="宋体"/>
                <w:szCs w:val="21"/>
              </w:rPr>
              <w:t>旋转疲劳测试（30万次）无裂纹、无断裂；二氧化硫腐蚀试验24h未见红锈；产品表面涂层理化性能：涂层厚度≥100μm；多元素含量的测定：碳≤0.112%、硅≤0.198%、锰≤0.492%、磷≤0.022%、硫≤0.011%、镍≤0.006%、铬≤0.024%、铜≤0.013%；拉伸试验：下屈服强度≥243MPa、抗拉强度≥423MPa、断后伸长率≥28%；金属漆膜耐腐蚀：氯化钠溶液，3%，100h。100h内，观察在溶剂中样板上划道两侧3mm以外，应无气泡产生。100h后，检查划道两侧3mm外，应无锈迹、剥落、起皱、变色和失光等现象。符合要求；三合一偏心连接件偏心体抗压强度≥500N；三合一偏心连接件预埋螺母抗拉强度≥750 N；三合一偏心连接件中连接螺杆螺纹与预埋螺母的抗拉强度≥850 N；三合一偏心连接件中偏心体与连接螺杆的扭矩≥10N·m；产品有害物质（铅、镉、铬、汞、锑、钡、硒、砷）均为未检出；依据</w:t>
            </w:r>
            <w:r>
              <w:rPr>
                <w:rFonts w:ascii="宋体" w:hAnsi="宋体"/>
                <w:szCs w:val="21"/>
              </w:rPr>
              <w:t>GB/T 3325-2024</w:t>
            </w:r>
            <w:r>
              <w:rPr>
                <w:rFonts w:hint="eastAsia" w:ascii="宋体" w:hAnsi="宋体"/>
                <w:szCs w:val="21"/>
              </w:rPr>
              <w:t>、GB/T 28203-2011、</w:t>
            </w:r>
            <w:r>
              <w:rPr>
                <w:rFonts w:ascii="宋体" w:hAnsi="宋体"/>
                <w:szCs w:val="21"/>
              </w:rPr>
              <w:t>GB/T 35607-2024</w:t>
            </w:r>
            <w:r>
              <w:rPr>
                <w:rFonts w:hint="eastAsia" w:ascii="宋体" w:hAnsi="宋体"/>
                <w:szCs w:val="21"/>
              </w:rPr>
              <w:t>、</w:t>
            </w:r>
            <w:r>
              <w:rPr>
                <w:rFonts w:ascii="宋体" w:hAnsi="宋体"/>
                <w:szCs w:val="21"/>
              </w:rPr>
              <w:t>GB/T 228.1-2021</w:t>
            </w:r>
            <w:r>
              <w:rPr>
                <w:rFonts w:hint="eastAsia" w:ascii="宋体" w:hAnsi="宋体"/>
                <w:szCs w:val="21"/>
              </w:rPr>
              <w:t>GB/T 6461-2002、</w:t>
            </w:r>
            <w:r>
              <w:rPr>
                <w:rFonts w:ascii="宋体" w:hAnsi="宋体"/>
                <w:szCs w:val="21"/>
              </w:rPr>
              <w:t>GB/T 4337-2015</w:t>
            </w:r>
            <w:r>
              <w:rPr>
                <w:rFonts w:hint="eastAsia" w:ascii="宋体" w:hAnsi="宋体"/>
                <w:szCs w:val="21"/>
              </w:rPr>
              <w:t>检测标准。</w:t>
            </w:r>
            <w:r>
              <w:rPr>
                <w:rFonts w:hint="eastAsia" w:ascii="宋体" w:hAnsi="宋体" w:cs="宋体"/>
              </w:rPr>
              <w:t>（提供符合此数据相对应的检测报告）</w:t>
            </w:r>
          </w:p>
        </w:tc>
      </w:tr>
      <w:tr w14:paraId="5EB00292">
        <w:tblPrEx>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vAlign w:val="center"/>
          </w:tcPr>
          <w:p w14:paraId="00AC966B">
            <w:pPr>
              <w:widowControl/>
              <w:jc w:val="left"/>
              <w:textAlignment w:val="center"/>
              <w:rPr>
                <w:rFonts w:hint="eastAsia" w:ascii="宋体" w:hAnsi="宋体" w:cs="宋体"/>
                <w:kern w:val="0"/>
                <w:sz w:val="22"/>
                <w:lang w:bidi="ar"/>
              </w:rPr>
            </w:pPr>
            <w:r>
              <w:rPr>
                <w:rFonts w:hint="eastAsia" w:ascii="宋体" w:hAnsi="宋体" w:cs="宋体"/>
              </w:rPr>
              <w:t>“▲”</w:t>
            </w:r>
            <w:r>
              <w:rPr>
                <w:rFonts w:hint="eastAsia" w:ascii="宋体" w:hAnsi="宋体" w:cs="宋体"/>
                <w:kern w:val="0"/>
                <w:sz w:val="22"/>
                <w:lang w:bidi="ar"/>
              </w:rPr>
              <w:t>13、交货期：合同签订后30天内</w:t>
            </w:r>
          </w:p>
        </w:tc>
      </w:tr>
    </w:tbl>
    <w:p w14:paraId="694286C8">
      <w:pPr>
        <w:tabs>
          <w:tab w:val="left" w:pos="284"/>
          <w:tab w:val="left" w:pos="567"/>
        </w:tabs>
        <w:adjustRightInd w:val="0"/>
        <w:snapToGrid w:val="0"/>
        <w:spacing w:line="360" w:lineRule="auto"/>
        <w:jc w:val="left"/>
        <w:rPr>
          <w:rFonts w:hint="eastAsia" w:ascii="宋体" w:hAnsi="宋体" w:cs="宋体"/>
          <w:kern w:val="0"/>
          <w:sz w:val="22"/>
          <w:lang w:bidi="ar"/>
        </w:rPr>
      </w:pPr>
    </w:p>
    <w:p w14:paraId="063E6490">
      <w:pPr>
        <w:pStyle w:val="4"/>
        <w:numPr>
          <w:ilvl w:val="0"/>
          <w:numId w:val="1"/>
        </w:numPr>
        <w:rPr>
          <w:rFonts w:hint="eastAsia"/>
        </w:rPr>
      </w:pPr>
      <w:r>
        <w:rPr>
          <w:rFonts w:hint="eastAsia"/>
        </w:rPr>
        <w:t>采购清单</w:t>
      </w:r>
    </w:p>
    <w:p w14:paraId="69B6319C">
      <w:pPr>
        <w:tabs>
          <w:tab w:val="left" w:pos="284"/>
        </w:tabs>
        <w:adjustRightInd w:val="0"/>
        <w:snapToGrid w:val="0"/>
        <w:spacing w:line="360" w:lineRule="auto"/>
        <w:jc w:val="left"/>
        <w:rPr>
          <w:rFonts w:ascii="宋体" w:hAnsi="Courier New"/>
          <w:bCs/>
          <w:kern w:val="0"/>
          <w:sz w:val="20"/>
          <w:szCs w:val="20"/>
        </w:rPr>
      </w:pPr>
      <w:r>
        <w:rPr>
          <w:rFonts w:hint="eastAsia" w:ascii="宋体" w:hAnsi="Courier New"/>
          <w:bCs/>
          <w:kern w:val="0"/>
          <w:sz w:val="20"/>
          <w:szCs w:val="20"/>
        </w:rPr>
        <w:t>详见项目招标清单</w:t>
      </w:r>
    </w:p>
    <w:p w14:paraId="5CC40D57">
      <w:pPr>
        <w:widowControl/>
        <w:jc w:val="left"/>
        <w:rPr>
          <w:sz w:val="24"/>
          <w:szCs w:val="24"/>
        </w:rPr>
      </w:pPr>
    </w:p>
    <w:p w14:paraId="5D724C8D">
      <w:pPr>
        <w:widowControl/>
        <w:jc w:val="left"/>
        <w:rPr>
          <w:sz w:val="24"/>
          <w:szCs w:val="24"/>
        </w:rPr>
      </w:pPr>
      <w:r>
        <w:rPr>
          <w:sz w:val="24"/>
          <w:szCs w:val="24"/>
        </w:rPr>
        <w:br w:type="page"/>
      </w:r>
    </w:p>
    <w:p w14:paraId="36D19CD6">
      <w:pPr>
        <w:spacing w:line="480" w:lineRule="exact"/>
        <w:jc w:val="center"/>
        <w:outlineLvl w:val="0"/>
        <w:rPr>
          <w:rFonts w:eastAsia="黑体"/>
          <w:b/>
          <w:sz w:val="44"/>
        </w:rPr>
      </w:pPr>
      <w:r>
        <w:rPr>
          <w:rFonts w:hint="eastAsia" w:eastAsia="黑体"/>
          <w:b/>
          <w:sz w:val="44"/>
        </w:rPr>
        <w:t xml:space="preserve">第三部分 </w:t>
      </w:r>
      <w:r>
        <w:rPr>
          <w:rFonts w:eastAsia="黑体"/>
          <w:b/>
          <w:sz w:val="44"/>
        </w:rPr>
        <w:t xml:space="preserve"> </w:t>
      </w:r>
      <w:r>
        <w:rPr>
          <w:rFonts w:hint="eastAsia" w:eastAsia="黑体"/>
          <w:b/>
          <w:sz w:val="44"/>
        </w:rPr>
        <w:t>投标人须知</w:t>
      </w:r>
    </w:p>
    <w:p w14:paraId="475E0E83">
      <w:pPr>
        <w:pStyle w:val="13"/>
        <w:jc w:val="center"/>
        <w:rPr>
          <w:rFonts w:hint="eastAsia"/>
          <w:sz w:val="32"/>
          <w:szCs w:val="32"/>
        </w:rPr>
      </w:pPr>
      <w:r>
        <w:rPr>
          <w:sz w:val="24"/>
        </w:rPr>
        <w:br w:type="page"/>
      </w:r>
      <w:r>
        <w:rPr>
          <w:rFonts w:hint="eastAsia"/>
          <w:sz w:val="32"/>
          <w:szCs w:val="32"/>
        </w:rPr>
        <w:t>投标人须知前附表</w:t>
      </w:r>
    </w:p>
    <w:p w14:paraId="3A8782EC">
      <w:pPr>
        <w:snapToGrid w:val="0"/>
        <w:spacing w:line="360" w:lineRule="auto"/>
        <w:ind w:firstLine="420" w:firstLineChars="200"/>
        <w:rPr>
          <w:rFonts w:hint="eastAsia" w:ascii="宋体" w:hAnsi="宋体"/>
          <w:szCs w:val="21"/>
        </w:rPr>
      </w:pPr>
      <w:r>
        <w:rPr>
          <w:rFonts w:hint="eastAsia" w:ascii="宋体" w:hAnsi="宋体"/>
          <w:szCs w:val="21"/>
        </w:rPr>
        <w:t>本“投标人须知前附表”是根据本项目的具体情况对“投标人须知”、“评标办法”中有关条款所作的补充和修改。如有不一致的，以本“投标人须知前附表”为准。</w:t>
      </w:r>
    </w:p>
    <w:tbl>
      <w:tblPr>
        <w:tblStyle w:val="22"/>
        <w:tblW w:w="9451"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77"/>
        <w:gridCol w:w="8374"/>
      </w:tblGrid>
      <w:tr w14:paraId="203BCD3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jc w:val="center"/>
        </w:trPr>
        <w:tc>
          <w:tcPr>
            <w:tcW w:w="1077" w:type="dxa"/>
            <w:vAlign w:val="center"/>
          </w:tcPr>
          <w:p w14:paraId="5E44474F">
            <w:pPr>
              <w:jc w:val="center"/>
              <w:rPr>
                <w:b/>
                <w:sz w:val="24"/>
                <w:szCs w:val="24"/>
              </w:rPr>
            </w:pPr>
            <w:r>
              <w:rPr>
                <w:rFonts w:hint="eastAsia"/>
                <w:b/>
                <w:sz w:val="24"/>
                <w:szCs w:val="24"/>
              </w:rPr>
              <w:t>条款</w:t>
            </w:r>
          </w:p>
          <w:p w14:paraId="436CADF8">
            <w:pPr>
              <w:jc w:val="center"/>
              <w:rPr>
                <w:b/>
              </w:rPr>
            </w:pPr>
            <w:r>
              <w:rPr>
                <w:rFonts w:hint="eastAsia"/>
                <w:b/>
                <w:sz w:val="24"/>
                <w:szCs w:val="24"/>
              </w:rPr>
              <w:t>序号</w:t>
            </w:r>
          </w:p>
        </w:tc>
        <w:tc>
          <w:tcPr>
            <w:tcW w:w="8374" w:type="dxa"/>
            <w:vAlign w:val="center"/>
          </w:tcPr>
          <w:p w14:paraId="40CDE21C">
            <w:pPr>
              <w:jc w:val="center"/>
              <w:rPr>
                <w:b/>
                <w:sz w:val="24"/>
                <w:szCs w:val="24"/>
              </w:rPr>
            </w:pPr>
            <w:r>
              <w:rPr>
                <w:rFonts w:hint="eastAsia"/>
                <w:b/>
                <w:sz w:val="24"/>
                <w:szCs w:val="24"/>
              </w:rPr>
              <w:t>内  容</w:t>
            </w:r>
          </w:p>
        </w:tc>
      </w:tr>
      <w:tr w14:paraId="38CE957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D5CCA73">
            <w:pPr>
              <w:jc w:val="center"/>
              <w:rPr>
                <w:b/>
              </w:rPr>
            </w:pPr>
          </w:p>
        </w:tc>
        <w:tc>
          <w:tcPr>
            <w:tcW w:w="8374" w:type="dxa"/>
            <w:vAlign w:val="center"/>
          </w:tcPr>
          <w:p w14:paraId="06887377">
            <w:pPr>
              <w:jc w:val="center"/>
              <w:rPr>
                <w:b/>
              </w:rPr>
            </w:pPr>
            <w:r>
              <w:rPr>
                <w:rFonts w:hint="eastAsia"/>
                <w:b/>
              </w:rPr>
              <w:t>一、 说明</w:t>
            </w:r>
          </w:p>
        </w:tc>
      </w:tr>
      <w:tr w14:paraId="31395A5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5A196667">
            <w:pPr>
              <w:spacing w:line="360" w:lineRule="auto"/>
              <w:jc w:val="center"/>
              <w:rPr>
                <w:b/>
              </w:rPr>
            </w:pPr>
            <w:r>
              <w:rPr>
                <w:rFonts w:hint="eastAsia"/>
                <w:b/>
              </w:rPr>
              <w:t>1</w:t>
            </w:r>
            <w:r>
              <w:rPr>
                <w:b/>
              </w:rPr>
              <w:t>.</w:t>
            </w:r>
            <w:r>
              <w:rPr>
                <w:rFonts w:hint="eastAsia"/>
                <w:b/>
              </w:rPr>
              <w:t>1</w:t>
            </w:r>
          </w:p>
        </w:tc>
        <w:tc>
          <w:tcPr>
            <w:tcW w:w="8374" w:type="dxa"/>
            <w:vAlign w:val="center"/>
          </w:tcPr>
          <w:p w14:paraId="57D27BF8">
            <w:pPr>
              <w:widowControl/>
              <w:numPr>
                <w:ilvl w:val="1"/>
                <w:numId w:val="3"/>
              </w:numPr>
              <w:tabs>
                <w:tab w:val="left" w:pos="426"/>
              </w:tabs>
              <w:adjustRightInd w:val="0"/>
              <w:snapToGrid w:val="0"/>
              <w:spacing w:line="360" w:lineRule="auto"/>
              <w:ind w:left="0" w:firstLine="0"/>
              <w:jc w:val="left"/>
              <w:rPr>
                <w:rFonts w:hint="eastAsia" w:ascii="宋体" w:hAnsi="宋体" w:cs="宋体"/>
                <w:szCs w:val="21"/>
              </w:rPr>
            </w:pPr>
            <w:r>
              <w:rPr>
                <w:rFonts w:hint="eastAsia" w:ascii="宋体" w:hAnsi="宋体" w:cs="宋体"/>
                <w:szCs w:val="21"/>
              </w:rPr>
              <w:t>本项目为</w:t>
            </w:r>
            <w:r>
              <w:rPr>
                <w:rFonts w:hint="eastAsia" w:ascii="宋体" w:hAnsi="宋体"/>
                <w:szCs w:val="24"/>
              </w:rPr>
              <w:t>广州工控大湾区现代高端装备研发生产基地项目（三期）办公家具采购项目，</w:t>
            </w:r>
            <w:r>
              <w:rPr>
                <w:rFonts w:hint="eastAsia" w:ascii="宋体" w:hAnsi="宋体" w:cs="宋体"/>
                <w:szCs w:val="21"/>
              </w:rPr>
              <w:t>具体数量详见项目清单。</w:t>
            </w:r>
          </w:p>
          <w:p w14:paraId="039562BE">
            <w:pPr>
              <w:widowControl/>
              <w:numPr>
                <w:ilvl w:val="1"/>
                <w:numId w:val="3"/>
              </w:numPr>
              <w:tabs>
                <w:tab w:val="left" w:pos="426"/>
              </w:tabs>
              <w:adjustRightInd w:val="0"/>
              <w:snapToGrid w:val="0"/>
              <w:spacing w:line="360" w:lineRule="auto"/>
              <w:ind w:left="0" w:firstLine="0"/>
              <w:jc w:val="left"/>
              <w:rPr>
                <w:rFonts w:hint="eastAsia" w:ascii="宋体" w:hAnsi="宋体" w:cs="宋体"/>
                <w:szCs w:val="21"/>
              </w:rPr>
            </w:pPr>
            <w:r>
              <w:rPr>
                <w:rFonts w:hint="eastAsia" w:ascii="宋体" w:hAnsi="宋体" w:cs="宋体"/>
                <w:szCs w:val="21"/>
              </w:rPr>
              <w:t>项目地点：</w:t>
            </w:r>
            <w:r>
              <w:rPr>
                <w:rFonts w:hint="eastAsia" w:ascii="宋体" w:hAnsi="宋体"/>
                <w:szCs w:val="24"/>
              </w:rPr>
              <w:t>广东省广州市南沙区大岗镇潭新公路362号</w:t>
            </w:r>
            <w:r>
              <w:rPr>
                <w:rFonts w:hint="eastAsia" w:ascii="宋体" w:hAnsi="宋体" w:cs="宋体"/>
                <w:szCs w:val="21"/>
              </w:rPr>
              <w:t>。</w:t>
            </w:r>
          </w:p>
          <w:p w14:paraId="38B801FC">
            <w:pPr>
              <w:widowControl/>
              <w:numPr>
                <w:ilvl w:val="1"/>
                <w:numId w:val="3"/>
              </w:numPr>
              <w:tabs>
                <w:tab w:val="left" w:pos="426"/>
              </w:tabs>
              <w:adjustRightInd w:val="0"/>
              <w:snapToGrid w:val="0"/>
              <w:spacing w:line="360" w:lineRule="auto"/>
              <w:ind w:left="0" w:firstLine="0"/>
              <w:jc w:val="left"/>
              <w:rPr>
                <w:rFonts w:hint="eastAsia" w:ascii="宋体" w:hAnsi="宋体" w:cs="宋体"/>
                <w:szCs w:val="21"/>
              </w:rPr>
            </w:pPr>
            <w:r>
              <w:rPr>
                <w:rFonts w:hint="eastAsia" w:ascii="宋体" w:hAnsi="宋体" w:cs="宋体"/>
                <w:b/>
                <w:szCs w:val="21"/>
              </w:rPr>
              <w:t>本项目总工期为合同签订后</w:t>
            </w:r>
            <w:r>
              <w:rPr>
                <w:rFonts w:hint="eastAsia" w:ascii="宋体" w:hAnsi="宋体" w:cs="宋体"/>
                <w:b/>
                <w:szCs w:val="21"/>
                <w:u w:val="single"/>
              </w:rPr>
              <w:t>30</w:t>
            </w:r>
            <w:r>
              <w:rPr>
                <w:rFonts w:hint="eastAsia" w:ascii="宋体" w:hAnsi="宋体" w:cs="宋体"/>
                <w:b/>
                <w:szCs w:val="21"/>
              </w:rPr>
              <w:t>天，</w:t>
            </w:r>
            <w:r>
              <w:rPr>
                <w:rFonts w:hint="eastAsia" w:ascii="宋体" w:hAnsi="宋体" w:cs="宋体"/>
                <w:szCs w:val="21"/>
              </w:rPr>
              <w:t>中标人须采取一切有效措施保证，不得延误。同时，中标人须按照招标人最终确认的家具品种、款式、数量和交货计划进行生产和供货。对于实际交货期的起止时间，招标人有权根据实际项目需要作相应调整，投标人应考虑相关风险并尽一切可能配合招标人调整相应的执行计划，并不得以交货期起止时间变动为由要求调整合同价格。</w:t>
            </w:r>
          </w:p>
          <w:p w14:paraId="1A05CC56">
            <w:pPr>
              <w:snapToGrid w:val="0"/>
              <w:spacing w:line="360" w:lineRule="auto"/>
              <w:rPr>
                <w:rFonts w:hint="eastAsia" w:ascii="宋体" w:hAnsi="宋体"/>
                <w:kern w:val="28"/>
              </w:rPr>
            </w:pPr>
            <w:r>
              <w:rPr>
                <w:rFonts w:hint="eastAsia" w:ascii="宋体" w:hAnsi="宋体" w:cs="宋体"/>
                <w:szCs w:val="21"/>
              </w:rPr>
              <w:t>本项目最高限价：</w:t>
            </w:r>
            <w:r>
              <w:rPr>
                <w:rFonts w:hint="eastAsia" w:ascii="宋体" w:hAnsi="宋体"/>
                <w:kern w:val="28"/>
              </w:rPr>
              <w:t>子项一（公共区域办公家具）最高限价35万元（大写：叁拾伍万元整），子项二（广重集团办公家具）最高限价165万元（大写：壹佰陆拾伍万元整），合计最高限价200万元（大写：贰百万元整）。</w:t>
            </w:r>
          </w:p>
          <w:p w14:paraId="1C4ECD74">
            <w:pPr>
              <w:widowControl/>
              <w:numPr>
                <w:ilvl w:val="1"/>
                <w:numId w:val="3"/>
              </w:numPr>
              <w:tabs>
                <w:tab w:val="left" w:pos="426"/>
              </w:tabs>
              <w:adjustRightInd w:val="0"/>
              <w:snapToGrid w:val="0"/>
              <w:spacing w:line="360" w:lineRule="auto"/>
              <w:ind w:left="0" w:firstLine="0"/>
              <w:jc w:val="left"/>
            </w:pPr>
            <w:r>
              <w:rPr>
                <w:rFonts w:hint="eastAsia" w:ascii="宋体" w:hAnsi="宋体"/>
                <w:kern w:val="28"/>
              </w:rPr>
              <w:t>报价要求：投标人可选择对其中任何一个或两个子项分开报价，投标价不得超出子项最高限价，否则其投标文件将被否决</w:t>
            </w:r>
            <w:r>
              <w:rPr>
                <w:rFonts w:hint="eastAsia" w:ascii="宋体" w:hAnsi="宋体" w:cs="宋体"/>
                <w:szCs w:val="21"/>
              </w:rPr>
              <w:t>。</w:t>
            </w:r>
          </w:p>
        </w:tc>
      </w:tr>
      <w:tr w14:paraId="256CBD8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EE0DA00">
            <w:pPr>
              <w:spacing w:line="360" w:lineRule="auto"/>
              <w:jc w:val="center"/>
              <w:rPr>
                <w:b/>
              </w:rPr>
            </w:pPr>
            <w:r>
              <w:rPr>
                <w:rFonts w:hint="eastAsia"/>
                <w:b/>
              </w:rPr>
              <w:t>1.2</w:t>
            </w:r>
          </w:p>
        </w:tc>
        <w:tc>
          <w:tcPr>
            <w:tcW w:w="8374" w:type="dxa"/>
            <w:vAlign w:val="center"/>
          </w:tcPr>
          <w:p w14:paraId="1CAAEE57">
            <w:pPr>
              <w:snapToGrid w:val="0"/>
              <w:spacing w:line="300" w:lineRule="auto"/>
              <w:rPr>
                <w:rFonts w:hint="eastAsia" w:ascii="宋体" w:hAnsi="宋体" w:cs="宋体"/>
                <w:szCs w:val="21"/>
              </w:rPr>
            </w:pPr>
            <w:r>
              <w:rPr>
                <w:rFonts w:hint="eastAsia" w:ascii="宋体" w:hAnsi="宋体" w:cs="宋体"/>
                <w:szCs w:val="21"/>
              </w:rPr>
              <w:t>招标人名称：广州广重企业集团有限公司</w:t>
            </w:r>
          </w:p>
          <w:p w14:paraId="429F4475">
            <w:pPr>
              <w:snapToGrid w:val="0"/>
              <w:spacing w:line="300" w:lineRule="auto"/>
              <w:rPr>
                <w:rFonts w:hint="eastAsia" w:ascii="宋体" w:hAnsi="宋体"/>
                <w:kern w:val="28"/>
              </w:rPr>
            </w:pPr>
            <w:r>
              <w:rPr>
                <w:rFonts w:hint="eastAsia" w:ascii="宋体" w:hAnsi="宋体" w:cs="宋体"/>
                <w:szCs w:val="21"/>
              </w:rPr>
              <w:t>子项一采购人名称：广州工控智能装备产业有限公司</w:t>
            </w:r>
          </w:p>
          <w:p w14:paraId="2D42BF53">
            <w:pPr>
              <w:snapToGrid w:val="0"/>
              <w:spacing w:line="300" w:lineRule="auto"/>
            </w:pPr>
            <w:r>
              <w:rPr>
                <w:rFonts w:hint="eastAsia" w:ascii="宋体" w:hAnsi="宋体" w:cs="宋体"/>
                <w:szCs w:val="21"/>
              </w:rPr>
              <w:t>子项二采购人名称：广州广重企业集团有限公司</w:t>
            </w:r>
          </w:p>
        </w:tc>
      </w:tr>
      <w:tr w14:paraId="2A8E94B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07BC68D1">
            <w:pPr>
              <w:tabs>
                <w:tab w:val="left" w:pos="315"/>
                <w:tab w:val="left" w:pos="1785"/>
                <w:tab w:val="left" w:pos="2310"/>
                <w:tab w:val="left" w:pos="8640"/>
              </w:tabs>
              <w:spacing w:line="360" w:lineRule="auto"/>
              <w:jc w:val="center"/>
              <w:rPr>
                <w:b/>
              </w:rPr>
            </w:pPr>
          </w:p>
        </w:tc>
        <w:tc>
          <w:tcPr>
            <w:tcW w:w="8374" w:type="dxa"/>
            <w:vAlign w:val="center"/>
          </w:tcPr>
          <w:p w14:paraId="250EBEF1">
            <w:pPr>
              <w:jc w:val="center"/>
              <w:rPr>
                <w:b/>
              </w:rPr>
            </w:pPr>
            <w:r>
              <w:rPr>
                <w:rFonts w:hint="eastAsia"/>
                <w:b/>
              </w:rPr>
              <w:t>二、 招标文件</w:t>
            </w:r>
          </w:p>
        </w:tc>
      </w:tr>
      <w:tr w14:paraId="01ED533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0A765B9E">
            <w:pPr>
              <w:spacing w:line="360" w:lineRule="auto"/>
              <w:jc w:val="center"/>
              <w:rPr>
                <w:b/>
              </w:rPr>
            </w:pPr>
            <w:r>
              <w:rPr>
                <w:rFonts w:hint="eastAsia"/>
                <w:b/>
              </w:rPr>
              <w:t>2.1</w:t>
            </w:r>
          </w:p>
        </w:tc>
        <w:tc>
          <w:tcPr>
            <w:tcW w:w="8374" w:type="dxa"/>
            <w:vAlign w:val="center"/>
          </w:tcPr>
          <w:p w14:paraId="64D09F73">
            <w:pPr>
              <w:adjustRightInd w:val="0"/>
              <w:snapToGrid w:val="0"/>
              <w:spacing w:before="31" w:beforeLines="10" w:after="31" w:afterLines="10" w:line="300" w:lineRule="auto"/>
              <w:rPr>
                <w:bCs/>
                <w:szCs w:val="24"/>
              </w:rPr>
            </w:pPr>
            <w:r>
              <w:rPr>
                <w:rFonts w:hint="eastAsia"/>
                <w:bCs/>
              </w:rPr>
              <w:t>本项目</w:t>
            </w:r>
            <w:r>
              <w:rPr>
                <w:rFonts w:hint="eastAsia" w:ascii="宋体" w:hAnsi="宋体"/>
                <w:bCs/>
                <w:szCs w:val="21"/>
              </w:rPr>
              <w:t>将不组织召开答疑会，潜在投标人可以自行组织到现场踏勘。</w:t>
            </w:r>
          </w:p>
        </w:tc>
      </w:tr>
      <w:tr w14:paraId="7A41E93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750F96B">
            <w:pPr>
              <w:tabs>
                <w:tab w:val="left" w:pos="315"/>
                <w:tab w:val="left" w:pos="1785"/>
                <w:tab w:val="left" w:pos="2310"/>
                <w:tab w:val="left" w:pos="8640"/>
              </w:tabs>
              <w:spacing w:line="360" w:lineRule="auto"/>
              <w:jc w:val="center"/>
              <w:rPr>
                <w:b/>
              </w:rPr>
            </w:pPr>
          </w:p>
        </w:tc>
        <w:tc>
          <w:tcPr>
            <w:tcW w:w="8374" w:type="dxa"/>
            <w:vAlign w:val="center"/>
          </w:tcPr>
          <w:p w14:paraId="4E7E77E0">
            <w:pPr>
              <w:jc w:val="center"/>
              <w:rPr>
                <w:b/>
              </w:rPr>
            </w:pPr>
            <w:r>
              <w:rPr>
                <w:rFonts w:hint="eastAsia"/>
                <w:b/>
              </w:rPr>
              <w:t>三、 投标文件的编制</w:t>
            </w:r>
          </w:p>
        </w:tc>
      </w:tr>
      <w:tr w14:paraId="48FC470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F136C09">
            <w:pPr>
              <w:tabs>
                <w:tab w:val="left" w:pos="315"/>
                <w:tab w:val="left" w:pos="1785"/>
                <w:tab w:val="left" w:pos="2310"/>
                <w:tab w:val="left" w:pos="8640"/>
              </w:tabs>
              <w:spacing w:line="360" w:lineRule="auto"/>
              <w:jc w:val="center"/>
              <w:rPr>
                <w:b/>
              </w:rPr>
            </w:pPr>
            <w:r>
              <w:rPr>
                <w:rFonts w:hint="eastAsia"/>
                <w:b/>
              </w:rPr>
              <w:t>3.1</w:t>
            </w:r>
          </w:p>
        </w:tc>
        <w:tc>
          <w:tcPr>
            <w:tcW w:w="8374" w:type="dxa"/>
            <w:vAlign w:val="center"/>
          </w:tcPr>
          <w:p w14:paraId="387E9E26">
            <w:pPr>
              <w:snapToGrid w:val="0"/>
              <w:spacing w:line="300" w:lineRule="auto"/>
              <w:rPr>
                <w:rFonts w:hint="eastAsia" w:ascii="宋体" w:hAnsi="宋体"/>
              </w:rPr>
            </w:pPr>
            <w:r>
              <w:rPr>
                <w:rFonts w:hint="eastAsia" w:ascii="宋体" w:hAnsi="宋体"/>
              </w:rPr>
              <w:t>本次招标是否允许投标人提交备选方案：不允许。</w:t>
            </w:r>
          </w:p>
        </w:tc>
      </w:tr>
      <w:tr w14:paraId="3C48CDD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6E2CD0C">
            <w:pPr>
              <w:tabs>
                <w:tab w:val="left" w:pos="315"/>
                <w:tab w:val="left" w:pos="1785"/>
                <w:tab w:val="left" w:pos="2310"/>
                <w:tab w:val="left" w:pos="8640"/>
              </w:tabs>
              <w:spacing w:line="360" w:lineRule="auto"/>
              <w:jc w:val="center"/>
              <w:rPr>
                <w:b/>
              </w:rPr>
            </w:pPr>
            <w:r>
              <w:rPr>
                <w:rFonts w:hint="eastAsia"/>
                <w:b/>
              </w:rPr>
              <w:t>3.2</w:t>
            </w:r>
          </w:p>
        </w:tc>
        <w:tc>
          <w:tcPr>
            <w:tcW w:w="8374" w:type="dxa"/>
            <w:vAlign w:val="center"/>
          </w:tcPr>
          <w:p w14:paraId="483BC5A4">
            <w:pPr>
              <w:snapToGrid w:val="0"/>
              <w:spacing w:line="300" w:lineRule="auto"/>
              <w:rPr>
                <w:rFonts w:hint="eastAsia" w:ascii="宋体" w:hAnsi="宋体"/>
              </w:rPr>
            </w:pPr>
            <w:r>
              <w:rPr>
                <w:rFonts w:hint="eastAsia" w:ascii="宋体" w:hAnsi="宋体"/>
              </w:rPr>
              <w:t>本次招标是否接受联合体参加投标：不接受。</w:t>
            </w:r>
          </w:p>
        </w:tc>
      </w:tr>
      <w:tr w14:paraId="141E3CF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752D4765">
            <w:pPr>
              <w:tabs>
                <w:tab w:val="left" w:pos="315"/>
                <w:tab w:val="left" w:pos="1785"/>
                <w:tab w:val="left" w:pos="2310"/>
                <w:tab w:val="left" w:pos="8640"/>
              </w:tabs>
              <w:spacing w:line="360" w:lineRule="auto"/>
              <w:jc w:val="center"/>
              <w:rPr>
                <w:b/>
              </w:rPr>
            </w:pPr>
            <w:r>
              <w:rPr>
                <w:rFonts w:hint="eastAsia"/>
                <w:b/>
              </w:rPr>
              <w:t>3.3</w:t>
            </w:r>
          </w:p>
        </w:tc>
        <w:tc>
          <w:tcPr>
            <w:tcW w:w="8374" w:type="dxa"/>
            <w:vAlign w:val="center"/>
          </w:tcPr>
          <w:p w14:paraId="7BE77B65">
            <w:pPr>
              <w:snapToGrid w:val="0"/>
              <w:spacing w:line="300" w:lineRule="auto"/>
              <w:rPr>
                <w:rFonts w:hint="eastAsia" w:ascii="宋体" w:hAnsi="宋体"/>
              </w:rPr>
            </w:pPr>
            <w:r>
              <w:rPr>
                <w:rFonts w:hint="eastAsia" w:ascii="宋体" w:hAnsi="宋体"/>
              </w:rPr>
              <w:t>a</w:t>
            </w:r>
            <w:r>
              <w:rPr>
                <w:rFonts w:ascii="宋体" w:hAnsi="宋体"/>
              </w:rPr>
              <w:t xml:space="preserve">. </w:t>
            </w:r>
            <w:r>
              <w:rPr>
                <w:rFonts w:hint="eastAsia" w:ascii="宋体" w:hAnsi="宋体"/>
              </w:rPr>
              <w:t>经验与业绩：如招标文件有要求，投标人按“合格投标人条件”、“第四部分</w:t>
            </w:r>
            <w:r>
              <w:rPr>
                <w:rFonts w:ascii="宋体" w:hAnsi="宋体"/>
              </w:rPr>
              <w:t xml:space="preserve"> 评标方法”《</w:t>
            </w:r>
            <w:r>
              <w:rPr>
                <w:rFonts w:hint="eastAsia" w:ascii="宋体" w:hAnsi="宋体"/>
              </w:rPr>
              <w:t>详细评标</w:t>
            </w:r>
            <w:r>
              <w:rPr>
                <w:rFonts w:ascii="宋体" w:hAnsi="宋体"/>
              </w:rPr>
              <w:t>表》的要求提供；</w:t>
            </w:r>
          </w:p>
          <w:p w14:paraId="023834C7">
            <w:pPr>
              <w:snapToGrid w:val="0"/>
              <w:spacing w:line="300" w:lineRule="auto"/>
              <w:rPr>
                <w:rFonts w:hint="eastAsia" w:ascii="宋体" w:hAnsi="宋体"/>
              </w:rPr>
            </w:pPr>
            <w:r>
              <w:rPr>
                <w:rFonts w:hint="eastAsia" w:ascii="宋体" w:hAnsi="宋体"/>
              </w:rPr>
              <w:t>b</w:t>
            </w:r>
            <w:r>
              <w:rPr>
                <w:rFonts w:ascii="宋体" w:hAnsi="宋体"/>
              </w:rPr>
              <w:t>. 审计报告及年度财务报表</w:t>
            </w:r>
            <w:r>
              <w:rPr>
                <w:rFonts w:hint="eastAsia" w:ascii="宋体" w:hAnsi="宋体"/>
              </w:rPr>
              <w:t>：如招标文件有要求，投标人按“合格投标人条件”、“第四部分</w:t>
            </w:r>
            <w:r>
              <w:rPr>
                <w:rFonts w:ascii="宋体" w:hAnsi="宋体"/>
              </w:rPr>
              <w:t xml:space="preserve"> 评标方法”《</w:t>
            </w:r>
            <w:r>
              <w:rPr>
                <w:rFonts w:hint="eastAsia" w:ascii="宋体" w:hAnsi="宋体"/>
              </w:rPr>
              <w:t>详细评标</w:t>
            </w:r>
            <w:r>
              <w:rPr>
                <w:rFonts w:ascii="宋体" w:hAnsi="宋体"/>
              </w:rPr>
              <w:t>表》的要求提供</w:t>
            </w:r>
            <w:r>
              <w:rPr>
                <w:rFonts w:hint="eastAsia" w:ascii="宋体" w:hAnsi="宋体"/>
              </w:rPr>
              <w:t>；</w:t>
            </w:r>
          </w:p>
          <w:p w14:paraId="0E412B6E">
            <w:pPr>
              <w:snapToGrid w:val="0"/>
              <w:spacing w:line="300" w:lineRule="auto"/>
              <w:rPr>
                <w:rFonts w:hint="eastAsia" w:ascii="宋体" w:hAnsi="宋体"/>
              </w:rPr>
            </w:pPr>
            <w:r>
              <w:rPr>
                <w:rFonts w:hint="eastAsia" w:ascii="宋体" w:hAnsi="宋体"/>
              </w:rPr>
              <w:t>c</w:t>
            </w:r>
            <w:r>
              <w:rPr>
                <w:rFonts w:ascii="宋体" w:hAnsi="宋体"/>
              </w:rPr>
              <w:t>.</w:t>
            </w:r>
            <w:r>
              <w:rPr>
                <w:rFonts w:hint="eastAsia" w:ascii="宋体" w:hAnsi="宋体"/>
              </w:rPr>
              <w:t xml:space="preserve"> 本次招标是否允许投标人将项目分包：否。</w:t>
            </w:r>
          </w:p>
          <w:p w14:paraId="36634B8F">
            <w:pPr>
              <w:snapToGrid w:val="0"/>
              <w:spacing w:line="300" w:lineRule="auto"/>
              <w:rPr>
                <w:rFonts w:hint="eastAsia" w:ascii="宋体" w:hAnsi="宋体"/>
              </w:rPr>
            </w:pPr>
            <w:r>
              <w:rPr>
                <w:rFonts w:hint="eastAsia" w:ascii="宋体" w:hAnsi="宋体"/>
              </w:rPr>
              <w:t>d</w:t>
            </w:r>
            <w:r>
              <w:rPr>
                <w:rFonts w:ascii="宋体" w:hAnsi="宋体"/>
              </w:rPr>
              <w:t>.</w:t>
            </w:r>
            <w:r>
              <w:rPr>
                <w:rFonts w:hint="eastAsia" w:ascii="宋体" w:hAnsi="宋体"/>
              </w:rPr>
              <w:t xml:space="preserve"> 投标人应提供的其它有效文件：如招标文件有要求，投标人按“合格投标人条件”、“第四部分 评标方法”《符合性审查表》、《详细评标表》要求提供。</w:t>
            </w:r>
          </w:p>
        </w:tc>
      </w:tr>
      <w:tr w14:paraId="152DE04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33DF3A7E">
            <w:pPr>
              <w:tabs>
                <w:tab w:val="left" w:pos="315"/>
                <w:tab w:val="left" w:pos="1785"/>
                <w:tab w:val="left" w:pos="2310"/>
                <w:tab w:val="left" w:pos="8640"/>
              </w:tabs>
              <w:spacing w:line="360" w:lineRule="auto"/>
              <w:ind w:right="-48"/>
              <w:jc w:val="center"/>
              <w:rPr>
                <w:b/>
              </w:rPr>
            </w:pPr>
            <w:r>
              <w:rPr>
                <w:rFonts w:hint="eastAsia"/>
                <w:b/>
              </w:rPr>
              <w:t>3.4</w:t>
            </w:r>
          </w:p>
        </w:tc>
        <w:tc>
          <w:tcPr>
            <w:tcW w:w="8374" w:type="dxa"/>
            <w:vAlign w:val="center"/>
          </w:tcPr>
          <w:p w14:paraId="46860B92">
            <w:pPr>
              <w:snapToGrid w:val="0"/>
              <w:spacing w:line="300" w:lineRule="auto"/>
              <w:rPr>
                <w:rFonts w:hint="eastAsia" w:ascii="宋体" w:hAnsi="宋体"/>
              </w:rPr>
            </w:pPr>
            <w:r>
              <w:rPr>
                <w:rFonts w:hint="eastAsia" w:ascii="宋体" w:hAnsi="宋体"/>
              </w:rPr>
              <w:t>投标人应提供</w:t>
            </w:r>
            <w:r>
              <w:rPr>
                <w:rFonts w:ascii="宋体" w:hAnsi="宋体"/>
              </w:rPr>
              <w:t>202</w:t>
            </w:r>
            <w:r>
              <w:rPr>
                <w:rFonts w:hint="eastAsia" w:ascii="宋体" w:hAnsi="宋体"/>
              </w:rPr>
              <w:t>2年7月</w:t>
            </w:r>
            <w:r>
              <w:rPr>
                <w:rFonts w:ascii="宋体" w:hAnsi="宋体"/>
              </w:rPr>
              <w:t>1</w:t>
            </w:r>
            <w:r>
              <w:rPr>
                <w:rFonts w:hint="eastAsia" w:ascii="宋体" w:hAnsi="宋体"/>
              </w:rPr>
              <w:t>日至今无重大违法记录的申明；</w:t>
            </w:r>
          </w:p>
        </w:tc>
      </w:tr>
      <w:tr w14:paraId="433EE34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3972D037">
            <w:pPr>
              <w:tabs>
                <w:tab w:val="left" w:pos="315"/>
                <w:tab w:val="left" w:pos="1785"/>
                <w:tab w:val="left" w:pos="2310"/>
                <w:tab w:val="left" w:pos="8640"/>
              </w:tabs>
              <w:spacing w:line="360" w:lineRule="auto"/>
              <w:ind w:right="-48"/>
              <w:jc w:val="center"/>
              <w:rPr>
                <w:b/>
              </w:rPr>
            </w:pPr>
            <w:r>
              <w:rPr>
                <w:rFonts w:hint="eastAsia"/>
                <w:b/>
              </w:rPr>
              <w:t>3.5</w:t>
            </w:r>
          </w:p>
        </w:tc>
        <w:tc>
          <w:tcPr>
            <w:tcW w:w="8374" w:type="dxa"/>
            <w:vAlign w:val="center"/>
          </w:tcPr>
          <w:p w14:paraId="3499D700">
            <w:pPr>
              <w:snapToGrid w:val="0"/>
              <w:spacing w:line="300" w:lineRule="auto"/>
              <w:rPr>
                <w:rFonts w:hint="eastAsia" w:ascii="宋体" w:hAnsi="宋体"/>
              </w:rPr>
            </w:pPr>
            <w:r>
              <w:rPr>
                <w:rFonts w:hint="eastAsia" w:ascii="宋体" w:hAnsi="宋体"/>
              </w:rPr>
              <w:t>投标人必须按招标文件规定的金额和期限提交投标保证金，投标保证金作为投标文件的组成部分,与投标文件一同递交。</w:t>
            </w:r>
          </w:p>
          <w:p w14:paraId="49F2EDDD">
            <w:pPr>
              <w:snapToGrid w:val="0"/>
              <w:spacing w:line="300" w:lineRule="auto"/>
              <w:rPr>
                <w:rFonts w:hint="eastAsia" w:ascii="宋体" w:hAnsi="宋体"/>
              </w:rPr>
            </w:pPr>
            <w:r>
              <w:rPr>
                <w:rFonts w:hint="eastAsia" w:ascii="宋体" w:hAnsi="宋体"/>
              </w:rPr>
              <w:t>（一）本项目的投标保证金为人民币3万元（大写：叁万元整）；</w:t>
            </w:r>
          </w:p>
          <w:p w14:paraId="655AC491">
            <w:pPr>
              <w:snapToGrid w:val="0"/>
              <w:spacing w:line="300" w:lineRule="auto"/>
              <w:rPr>
                <w:rFonts w:hint="eastAsia" w:ascii="宋体" w:hAnsi="宋体"/>
              </w:rPr>
            </w:pPr>
            <w:r>
              <w:rPr>
                <w:rFonts w:hint="eastAsia" w:ascii="宋体" w:hAnsi="宋体"/>
              </w:rPr>
              <w:t>（二）投标保证金可以以银行转账或者金融机构、担保机构出具的保函形式提交：</w:t>
            </w:r>
          </w:p>
          <w:p w14:paraId="136569B0">
            <w:pPr>
              <w:snapToGrid w:val="0"/>
              <w:spacing w:line="300" w:lineRule="auto"/>
              <w:rPr>
                <w:rFonts w:hint="eastAsia" w:ascii="宋体" w:hAnsi="宋体"/>
              </w:rPr>
            </w:pPr>
            <w:r>
              <w:rPr>
                <w:rFonts w:hint="eastAsia" w:ascii="宋体" w:hAnsi="宋体"/>
              </w:rPr>
              <w:t>1.采用银行转账提交保证金的，应当转账至以下被授权账户：</w:t>
            </w:r>
          </w:p>
          <w:p w14:paraId="26BD61FD">
            <w:pPr>
              <w:snapToGrid w:val="0"/>
              <w:spacing w:line="300" w:lineRule="auto"/>
              <w:rPr>
                <w:rFonts w:hint="eastAsia" w:ascii="宋体" w:hAnsi="宋体"/>
              </w:rPr>
            </w:pPr>
            <w:r>
              <w:rPr>
                <w:rFonts w:hint="eastAsia" w:ascii="宋体" w:hAnsi="宋体"/>
              </w:rPr>
              <w:t>收款人：广州广重企业集团有限公司</w:t>
            </w:r>
          </w:p>
          <w:p w14:paraId="32A55A45">
            <w:pPr>
              <w:snapToGrid w:val="0"/>
              <w:spacing w:line="300" w:lineRule="auto"/>
              <w:rPr>
                <w:rFonts w:hint="eastAsia" w:ascii="宋体" w:hAnsi="宋体"/>
              </w:rPr>
            </w:pPr>
            <w:r>
              <w:rPr>
                <w:rFonts w:hint="eastAsia" w:ascii="宋体" w:hAnsi="宋体"/>
              </w:rPr>
              <w:t>开户行：中国工商银行同福中路支行</w:t>
            </w:r>
          </w:p>
          <w:p w14:paraId="627BD66B">
            <w:pPr>
              <w:snapToGrid w:val="0"/>
              <w:spacing w:line="300" w:lineRule="auto"/>
              <w:rPr>
                <w:rFonts w:hint="eastAsia" w:ascii="宋体" w:hAnsi="宋体"/>
              </w:rPr>
            </w:pPr>
            <w:r>
              <w:rPr>
                <w:rFonts w:hint="eastAsia" w:ascii="宋体" w:hAnsi="宋体"/>
              </w:rPr>
              <w:t>账号：3602 0011 0900 5828 843</w:t>
            </w:r>
          </w:p>
          <w:p w14:paraId="4184C76B">
            <w:pPr>
              <w:snapToGrid w:val="0"/>
              <w:spacing w:line="300" w:lineRule="auto"/>
              <w:rPr>
                <w:rFonts w:hint="eastAsia" w:ascii="宋体" w:hAnsi="宋体"/>
              </w:rPr>
            </w:pPr>
            <w:r>
              <w:rPr>
                <w:rFonts w:hint="eastAsia" w:ascii="宋体" w:hAnsi="宋体"/>
              </w:rPr>
              <w:t>2.采用金融机构、担保机构出具的保函提交保证金的，应当符合下列规定:保函中须标明本招标项目的项目名称、招标编号和受益人，投标人所提交的保函金额应当与本项目的投标保证金金额相同，保函有效期应不少于本招标文件规定的投标有效期；</w:t>
            </w:r>
          </w:p>
          <w:p w14:paraId="647360F2">
            <w:pPr>
              <w:snapToGrid w:val="0"/>
              <w:spacing w:line="300" w:lineRule="auto"/>
              <w:rPr>
                <w:rFonts w:hint="eastAsia" w:ascii="宋体" w:hAnsi="宋体"/>
              </w:rPr>
            </w:pPr>
            <w:r>
              <w:rPr>
                <w:rFonts w:hint="eastAsia" w:ascii="宋体" w:hAnsi="宋体"/>
              </w:rPr>
              <w:t>3.投标保证金提交截止时间与本项目投标截止时间相同；</w:t>
            </w:r>
          </w:p>
          <w:p w14:paraId="51E4C443">
            <w:pPr>
              <w:snapToGrid w:val="0"/>
              <w:spacing w:line="300" w:lineRule="auto"/>
              <w:rPr>
                <w:rFonts w:hint="eastAsia" w:ascii="宋体" w:hAnsi="宋体"/>
              </w:rPr>
            </w:pPr>
            <w:r>
              <w:rPr>
                <w:rFonts w:hint="eastAsia" w:ascii="宋体" w:hAnsi="宋体"/>
              </w:rPr>
              <w:t>（三）未按规定提交投标保证金的投标，将被视为非响应性投标而予以拒绝；</w:t>
            </w:r>
          </w:p>
          <w:p w14:paraId="5ACB2EB5">
            <w:pPr>
              <w:snapToGrid w:val="0"/>
              <w:spacing w:line="300" w:lineRule="auto"/>
              <w:rPr>
                <w:rFonts w:hint="eastAsia" w:ascii="宋体" w:hAnsi="宋体"/>
              </w:rPr>
            </w:pPr>
            <w:r>
              <w:rPr>
                <w:rFonts w:hint="eastAsia" w:ascii="宋体" w:hAnsi="宋体"/>
              </w:rPr>
              <w:t>（四）投标保证金的退还按如下说明执行：</w:t>
            </w:r>
          </w:p>
          <w:p w14:paraId="0EDB0560">
            <w:pPr>
              <w:snapToGrid w:val="0"/>
              <w:spacing w:line="300" w:lineRule="auto"/>
              <w:rPr>
                <w:rFonts w:hint="eastAsia" w:ascii="宋体" w:hAnsi="宋体"/>
              </w:rPr>
            </w:pPr>
            <w:r>
              <w:rPr>
                <w:rFonts w:hint="eastAsia" w:ascii="宋体" w:hAnsi="宋体"/>
              </w:rPr>
              <w:t>1.采用转账形式的未中标人的投标保证金，将在合同签订后20个工作日内无息退还至原投标账户；</w:t>
            </w:r>
          </w:p>
          <w:p w14:paraId="66A63747">
            <w:pPr>
              <w:snapToGrid w:val="0"/>
              <w:spacing w:line="300" w:lineRule="auto"/>
              <w:rPr>
                <w:rFonts w:hint="eastAsia" w:ascii="宋体" w:hAnsi="宋体"/>
              </w:rPr>
            </w:pPr>
            <w:r>
              <w:rPr>
                <w:rFonts w:hint="eastAsia" w:ascii="宋体" w:hAnsi="宋体"/>
              </w:rPr>
              <w:t>2.投标人提供的退还保证金帐户必须与实际投标人名称一致，否则不予退还；</w:t>
            </w:r>
          </w:p>
          <w:p w14:paraId="210D028D">
            <w:pPr>
              <w:snapToGrid w:val="0"/>
              <w:spacing w:line="300" w:lineRule="auto"/>
              <w:rPr>
                <w:rFonts w:hint="eastAsia" w:ascii="宋体" w:hAnsi="宋体"/>
              </w:rPr>
            </w:pPr>
            <w:r>
              <w:rPr>
                <w:rFonts w:hint="eastAsia" w:ascii="宋体" w:hAnsi="宋体"/>
              </w:rPr>
              <w:t>3.以下任何一种情况发生时，投标保证金将被没收：</w:t>
            </w:r>
          </w:p>
          <w:p w14:paraId="2DCEA092">
            <w:pPr>
              <w:snapToGrid w:val="0"/>
              <w:spacing w:line="300" w:lineRule="auto"/>
              <w:rPr>
                <w:rFonts w:hint="eastAsia" w:ascii="宋体" w:hAnsi="宋体"/>
              </w:rPr>
            </w:pPr>
            <w:r>
              <w:rPr>
                <w:rFonts w:hint="eastAsia" w:ascii="宋体" w:hAnsi="宋体"/>
              </w:rPr>
              <w:t>（1）投标人在投标有效期内撤回其投标；</w:t>
            </w:r>
          </w:p>
          <w:p w14:paraId="229F9FE1">
            <w:pPr>
              <w:snapToGrid w:val="0"/>
              <w:spacing w:line="300" w:lineRule="auto"/>
              <w:rPr>
                <w:rFonts w:hint="eastAsia" w:ascii="宋体" w:hAnsi="宋体"/>
              </w:rPr>
            </w:pPr>
            <w:r>
              <w:rPr>
                <w:rFonts w:hint="eastAsia" w:ascii="宋体" w:hAnsi="宋体"/>
              </w:rPr>
              <w:t>（2）中标人未能在规定的期限内签订合同或不按合同规定履行合同。</w:t>
            </w:r>
          </w:p>
        </w:tc>
      </w:tr>
      <w:tr w14:paraId="107F5BA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tcBorders>
              <w:top w:val="single" w:color="auto" w:sz="4" w:space="0"/>
            </w:tcBorders>
            <w:vAlign w:val="center"/>
          </w:tcPr>
          <w:p w14:paraId="781F569E">
            <w:pPr>
              <w:tabs>
                <w:tab w:val="left" w:pos="315"/>
                <w:tab w:val="left" w:pos="1785"/>
                <w:tab w:val="left" w:pos="2310"/>
                <w:tab w:val="left" w:pos="8640"/>
              </w:tabs>
              <w:spacing w:line="360" w:lineRule="auto"/>
              <w:jc w:val="center"/>
              <w:rPr>
                <w:b/>
              </w:rPr>
            </w:pPr>
          </w:p>
        </w:tc>
        <w:tc>
          <w:tcPr>
            <w:tcW w:w="8374" w:type="dxa"/>
            <w:vAlign w:val="center"/>
          </w:tcPr>
          <w:p w14:paraId="6E3B9ECE">
            <w:pPr>
              <w:jc w:val="center"/>
              <w:rPr>
                <w:rFonts w:hint="eastAsia" w:ascii="宋体" w:hAnsi="宋体"/>
                <w:b/>
              </w:rPr>
            </w:pPr>
            <w:r>
              <w:rPr>
                <w:rFonts w:hint="eastAsia"/>
                <w:b/>
              </w:rPr>
              <w:t>四、 投标文件的递交</w:t>
            </w:r>
          </w:p>
        </w:tc>
      </w:tr>
      <w:tr w14:paraId="73F71AC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123980F">
            <w:pPr>
              <w:tabs>
                <w:tab w:val="left" w:pos="315"/>
                <w:tab w:val="left" w:pos="1785"/>
                <w:tab w:val="left" w:pos="2310"/>
                <w:tab w:val="left" w:pos="8640"/>
              </w:tabs>
              <w:spacing w:line="360" w:lineRule="auto"/>
              <w:jc w:val="center"/>
              <w:rPr>
                <w:b/>
              </w:rPr>
            </w:pPr>
            <w:r>
              <w:rPr>
                <w:rFonts w:hint="eastAsia"/>
                <w:b/>
              </w:rPr>
              <w:t>4</w:t>
            </w:r>
            <w:r>
              <w:rPr>
                <w:b/>
              </w:rPr>
              <w:t>.</w:t>
            </w:r>
            <w:r>
              <w:rPr>
                <w:rFonts w:hint="eastAsia"/>
                <w:b/>
              </w:rPr>
              <w:t>1</w:t>
            </w:r>
          </w:p>
        </w:tc>
        <w:tc>
          <w:tcPr>
            <w:tcW w:w="8374" w:type="dxa"/>
            <w:vAlign w:val="center"/>
          </w:tcPr>
          <w:p w14:paraId="074A2C1A">
            <w:pPr>
              <w:snapToGrid w:val="0"/>
              <w:spacing w:line="300" w:lineRule="auto"/>
              <w:rPr>
                <w:rFonts w:hint="eastAsia" w:ascii="宋体" w:hAnsi="宋体"/>
              </w:rPr>
            </w:pPr>
            <w:r>
              <w:rPr>
                <w:rFonts w:hint="eastAsia" w:ascii="宋体" w:hAnsi="宋体"/>
              </w:rPr>
              <w:t>投标截止时间和投标文件送达地点详见“第一部分 招标公告”相关内容</w:t>
            </w:r>
          </w:p>
        </w:tc>
      </w:tr>
      <w:tr w14:paraId="1590074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64" w:hRule="atLeast"/>
          <w:jc w:val="center"/>
        </w:trPr>
        <w:tc>
          <w:tcPr>
            <w:tcW w:w="1077" w:type="dxa"/>
            <w:vAlign w:val="center"/>
          </w:tcPr>
          <w:p w14:paraId="5A224A94">
            <w:pPr>
              <w:tabs>
                <w:tab w:val="left" w:pos="315"/>
                <w:tab w:val="left" w:pos="1785"/>
                <w:tab w:val="left" w:pos="2310"/>
                <w:tab w:val="left" w:pos="8640"/>
              </w:tabs>
              <w:spacing w:line="360" w:lineRule="auto"/>
              <w:ind w:right="-48"/>
              <w:jc w:val="center"/>
              <w:rPr>
                <w:b/>
              </w:rPr>
            </w:pPr>
            <w:r>
              <w:rPr>
                <w:rFonts w:hint="eastAsia"/>
                <w:b/>
              </w:rPr>
              <w:t>4.2</w:t>
            </w:r>
          </w:p>
        </w:tc>
        <w:tc>
          <w:tcPr>
            <w:tcW w:w="8374" w:type="dxa"/>
            <w:tcBorders>
              <w:bottom w:val="single" w:color="auto" w:sz="4" w:space="0"/>
            </w:tcBorders>
            <w:vAlign w:val="center"/>
          </w:tcPr>
          <w:p w14:paraId="21ADD001">
            <w:pPr>
              <w:snapToGrid w:val="0"/>
              <w:spacing w:line="300" w:lineRule="auto"/>
              <w:rPr>
                <w:rFonts w:hint="eastAsia" w:ascii="宋体" w:hAnsi="宋体"/>
              </w:rPr>
            </w:pPr>
            <w:r>
              <w:rPr>
                <w:rFonts w:hint="eastAsia" w:ascii="宋体" w:hAnsi="宋体"/>
              </w:rPr>
              <w:t>投标文件应在投标截止日后</w:t>
            </w:r>
            <w:r>
              <w:rPr>
                <w:rFonts w:ascii="宋体" w:hAnsi="宋体"/>
                <w:u w:val="single"/>
              </w:rPr>
              <w:t>90</w:t>
            </w:r>
            <w:r>
              <w:rPr>
                <w:rFonts w:hint="eastAsia" w:ascii="宋体" w:hAnsi="宋体"/>
              </w:rPr>
              <w:t>天内有效。</w:t>
            </w:r>
          </w:p>
        </w:tc>
      </w:tr>
      <w:tr w14:paraId="562A2F6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C34FCE5">
            <w:pPr>
              <w:tabs>
                <w:tab w:val="left" w:pos="315"/>
                <w:tab w:val="left" w:pos="1785"/>
                <w:tab w:val="left" w:pos="2310"/>
                <w:tab w:val="left" w:pos="8640"/>
              </w:tabs>
              <w:spacing w:line="360" w:lineRule="auto"/>
              <w:jc w:val="center"/>
              <w:rPr>
                <w:b/>
              </w:rPr>
            </w:pPr>
          </w:p>
        </w:tc>
        <w:tc>
          <w:tcPr>
            <w:tcW w:w="8374" w:type="dxa"/>
            <w:vAlign w:val="center"/>
          </w:tcPr>
          <w:p w14:paraId="09852EB0">
            <w:pPr>
              <w:jc w:val="center"/>
              <w:rPr>
                <w:rFonts w:hint="eastAsia" w:ascii="宋体" w:hAnsi="宋体"/>
                <w:b/>
              </w:rPr>
            </w:pPr>
            <w:r>
              <w:rPr>
                <w:rFonts w:hint="eastAsia"/>
                <w:b/>
              </w:rPr>
              <w:t>五、开标、评标和定标</w:t>
            </w:r>
          </w:p>
        </w:tc>
      </w:tr>
      <w:tr w14:paraId="71D4314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5412544D">
            <w:pPr>
              <w:tabs>
                <w:tab w:val="left" w:pos="315"/>
                <w:tab w:val="left" w:pos="1785"/>
                <w:tab w:val="left" w:pos="2310"/>
                <w:tab w:val="left" w:pos="8640"/>
              </w:tabs>
              <w:spacing w:line="360" w:lineRule="auto"/>
              <w:jc w:val="center"/>
              <w:rPr>
                <w:b/>
              </w:rPr>
            </w:pPr>
            <w:r>
              <w:rPr>
                <w:rFonts w:hint="eastAsia"/>
                <w:b/>
              </w:rPr>
              <w:t>5.1</w:t>
            </w:r>
          </w:p>
        </w:tc>
        <w:tc>
          <w:tcPr>
            <w:tcW w:w="8374" w:type="dxa"/>
            <w:vAlign w:val="center"/>
          </w:tcPr>
          <w:p w14:paraId="14F182A6">
            <w:pPr>
              <w:snapToGrid w:val="0"/>
              <w:spacing w:line="300" w:lineRule="auto"/>
              <w:rPr>
                <w:rFonts w:hint="eastAsia" w:ascii="宋体" w:hAnsi="宋体"/>
              </w:rPr>
            </w:pPr>
            <w:r>
              <w:rPr>
                <w:rFonts w:hint="eastAsia" w:ascii="宋体" w:hAnsi="宋体"/>
              </w:rPr>
              <w:t>采用</w:t>
            </w:r>
            <w:r>
              <w:rPr>
                <w:rFonts w:hint="eastAsia" w:ascii="宋体" w:hAnsi="宋体"/>
                <w:u w:val="single"/>
              </w:rPr>
              <w:t xml:space="preserve"> 综合评分法 </w:t>
            </w:r>
            <w:r>
              <w:rPr>
                <w:rFonts w:hint="eastAsia" w:ascii="宋体" w:hAnsi="宋体"/>
              </w:rPr>
              <w:t>，详见“第四部分 评标方法”</w:t>
            </w:r>
          </w:p>
        </w:tc>
      </w:tr>
      <w:tr w14:paraId="04E0110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34025D4C">
            <w:pPr>
              <w:tabs>
                <w:tab w:val="left" w:pos="315"/>
                <w:tab w:val="left" w:pos="1785"/>
                <w:tab w:val="left" w:pos="2310"/>
                <w:tab w:val="left" w:pos="8640"/>
              </w:tabs>
              <w:spacing w:line="360" w:lineRule="auto"/>
              <w:jc w:val="center"/>
              <w:rPr>
                <w:b/>
              </w:rPr>
            </w:pPr>
            <w:r>
              <w:rPr>
                <w:rFonts w:hint="eastAsia"/>
                <w:b/>
              </w:rPr>
              <w:t>5.2</w:t>
            </w:r>
          </w:p>
        </w:tc>
        <w:tc>
          <w:tcPr>
            <w:tcW w:w="8374" w:type="dxa"/>
            <w:vAlign w:val="center"/>
          </w:tcPr>
          <w:p w14:paraId="509C95CB">
            <w:pPr>
              <w:snapToGrid w:val="0"/>
              <w:spacing w:line="300" w:lineRule="auto"/>
              <w:rPr>
                <w:rFonts w:hint="eastAsia" w:ascii="宋体" w:hAnsi="宋体"/>
              </w:rPr>
            </w:pPr>
            <w:r>
              <w:rPr>
                <w:rFonts w:hint="eastAsia" w:ascii="宋体" w:hAnsi="宋体"/>
              </w:rPr>
              <w:t>中标候选人公示及招标结果公告媒体：</w:t>
            </w:r>
          </w:p>
          <w:p w14:paraId="5E27374F">
            <w:pPr>
              <w:snapToGrid w:val="0"/>
              <w:spacing w:line="300" w:lineRule="auto"/>
              <w:rPr>
                <w:rFonts w:hint="eastAsia" w:ascii="宋体" w:hAnsi="宋体"/>
              </w:rPr>
            </w:pPr>
            <w:r>
              <w:rPr>
                <w:rFonts w:hint="eastAsia" w:ascii="宋体" w:hAnsi="宋体"/>
              </w:rPr>
              <w:t>广州工控集团官方网站采购平台（https://ips.giihg.com）或广重集团官方网站（https://www.gzhm.com）</w:t>
            </w:r>
          </w:p>
        </w:tc>
      </w:tr>
      <w:tr w14:paraId="30540BF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5CA2EB1">
            <w:pPr>
              <w:tabs>
                <w:tab w:val="left" w:pos="315"/>
                <w:tab w:val="left" w:pos="1785"/>
                <w:tab w:val="left" w:pos="2310"/>
                <w:tab w:val="left" w:pos="8640"/>
              </w:tabs>
              <w:spacing w:line="360" w:lineRule="auto"/>
              <w:jc w:val="center"/>
              <w:rPr>
                <w:b/>
              </w:rPr>
            </w:pPr>
          </w:p>
        </w:tc>
        <w:tc>
          <w:tcPr>
            <w:tcW w:w="8374" w:type="dxa"/>
            <w:vAlign w:val="center"/>
          </w:tcPr>
          <w:p w14:paraId="699B2388">
            <w:pPr>
              <w:jc w:val="center"/>
              <w:rPr>
                <w:rFonts w:hint="eastAsia" w:ascii="宋体" w:hAnsi="宋体"/>
              </w:rPr>
            </w:pPr>
            <w:r>
              <w:rPr>
                <w:rFonts w:hint="eastAsia"/>
                <w:b/>
              </w:rPr>
              <w:t>六、合同的订立和履行</w:t>
            </w:r>
          </w:p>
        </w:tc>
      </w:tr>
      <w:tr w14:paraId="33ACD97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5A0FAF01">
            <w:pPr>
              <w:tabs>
                <w:tab w:val="left" w:pos="315"/>
                <w:tab w:val="left" w:pos="1785"/>
                <w:tab w:val="left" w:pos="2310"/>
                <w:tab w:val="left" w:pos="8640"/>
              </w:tabs>
              <w:spacing w:line="360" w:lineRule="auto"/>
              <w:jc w:val="center"/>
              <w:rPr>
                <w:b/>
              </w:rPr>
            </w:pPr>
            <w:r>
              <w:rPr>
                <w:rFonts w:hint="eastAsia"/>
                <w:b/>
              </w:rPr>
              <w:t>6.1</w:t>
            </w:r>
          </w:p>
        </w:tc>
        <w:tc>
          <w:tcPr>
            <w:tcW w:w="8374" w:type="dxa"/>
            <w:vAlign w:val="center"/>
          </w:tcPr>
          <w:p w14:paraId="094D3AF9">
            <w:pPr>
              <w:snapToGrid w:val="0"/>
              <w:spacing w:line="300" w:lineRule="auto"/>
              <w:rPr>
                <w:rFonts w:hint="eastAsia" w:ascii="宋体" w:hAnsi="宋体"/>
              </w:rPr>
            </w:pPr>
            <w:r>
              <w:rPr>
                <w:rFonts w:hint="eastAsia" w:ascii="宋体" w:hAnsi="宋体"/>
              </w:rPr>
              <w:t>子项一（公共区域办公家具）以广州工控智能装备产业有限公司为主体签订合同，子项二（广重集团办公家具）以广州广重企业集团有限公司为主体签订合同，具体详见合同条款。</w:t>
            </w:r>
          </w:p>
        </w:tc>
      </w:tr>
      <w:tr w14:paraId="6136A87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8AB7B19">
            <w:pPr>
              <w:tabs>
                <w:tab w:val="left" w:pos="315"/>
                <w:tab w:val="left" w:pos="1785"/>
                <w:tab w:val="left" w:pos="2310"/>
                <w:tab w:val="left" w:pos="8640"/>
              </w:tabs>
              <w:spacing w:line="360" w:lineRule="auto"/>
              <w:jc w:val="center"/>
              <w:rPr>
                <w:b/>
              </w:rPr>
            </w:pPr>
          </w:p>
        </w:tc>
        <w:tc>
          <w:tcPr>
            <w:tcW w:w="8374" w:type="dxa"/>
            <w:vAlign w:val="center"/>
          </w:tcPr>
          <w:p w14:paraId="48CC26A9">
            <w:pPr>
              <w:jc w:val="center"/>
              <w:rPr>
                <w:rFonts w:hint="eastAsia" w:ascii="宋体" w:hAnsi="宋体"/>
                <w:b/>
              </w:rPr>
            </w:pPr>
            <w:r>
              <w:rPr>
                <w:rFonts w:hint="eastAsia"/>
                <w:b/>
              </w:rPr>
              <w:t>七、投标文件要求</w:t>
            </w:r>
          </w:p>
        </w:tc>
      </w:tr>
      <w:tr w14:paraId="307EDD4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59FBFA9">
            <w:pPr>
              <w:tabs>
                <w:tab w:val="left" w:pos="315"/>
                <w:tab w:val="left" w:pos="1785"/>
                <w:tab w:val="left" w:pos="2310"/>
                <w:tab w:val="left" w:pos="8640"/>
              </w:tabs>
              <w:spacing w:line="360" w:lineRule="auto"/>
              <w:jc w:val="center"/>
              <w:rPr>
                <w:b/>
              </w:rPr>
            </w:pPr>
            <w:r>
              <w:rPr>
                <w:rFonts w:hint="eastAsia"/>
                <w:b/>
              </w:rPr>
              <w:t>7.1</w:t>
            </w:r>
          </w:p>
        </w:tc>
        <w:tc>
          <w:tcPr>
            <w:tcW w:w="8374" w:type="dxa"/>
            <w:vAlign w:val="center"/>
          </w:tcPr>
          <w:p w14:paraId="7521DACC">
            <w:pPr>
              <w:snapToGrid w:val="0"/>
              <w:spacing w:line="300" w:lineRule="auto"/>
              <w:rPr>
                <w:rFonts w:hint="eastAsia" w:ascii="宋体" w:hAnsi="宋体"/>
              </w:rPr>
            </w:pPr>
            <w:r>
              <w:rPr>
                <w:rFonts w:hint="eastAsia" w:ascii="宋体" w:hAnsi="宋体"/>
              </w:rPr>
              <w:t>投标文件要求：</w:t>
            </w:r>
          </w:p>
          <w:p w14:paraId="49F516BA">
            <w:pPr>
              <w:snapToGrid w:val="0"/>
              <w:spacing w:line="300" w:lineRule="auto"/>
              <w:rPr>
                <w:rFonts w:hint="eastAsia" w:ascii="宋体" w:hAnsi="宋体"/>
              </w:rPr>
            </w:pPr>
            <w:r>
              <w:rPr>
                <w:rFonts w:hint="eastAsia" w:ascii="宋体" w:hAnsi="宋体"/>
              </w:rPr>
              <w:t>1、投标文件应用不褪色的材料书写或打印并加盖投标人公章。投标人存在相关授权委托人的，投标文件应附由法定代表人签署的授权委托书；</w:t>
            </w:r>
          </w:p>
          <w:p w14:paraId="49C3FCCA">
            <w:pPr>
              <w:snapToGrid w:val="0"/>
              <w:spacing w:line="300" w:lineRule="auto"/>
              <w:rPr>
                <w:rFonts w:hint="eastAsia" w:ascii="宋体" w:hAnsi="宋体"/>
              </w:rPr>
            </w:pPr>
            <w:r>
              <w:rPr>
                <w:rFonts w:hint="eastAsia" w:ascii="宋体" w:hAnsi="宋体"/>
              </w:rPr>
              <w:t>2、投标文件一正一副，投标文件的正本和副本的封面上应清楚地标记“正本”或“副本”的字样。当副本和正本不一致时，以正本为准。投标文件的正本与副本应分别装订成册，各册独立装订的投标文件均采用不易松散的书式装订；</w:t>
            </w:r>
          </w:p>
          <w:p w14:paraId="52EB674C">
            <w:pPr>
              <w:snapToGrid w:val="0"/>
              <w:spacing w:line="300" w:lineRule="auto"/>
              <w:rPr>
                <w:rFonts w:hint="eastAsia" w:ascii="宋体" w:hAnsi="宋体"/>
              </w:rPr>
            </w:pPr>
            <w:r>
              <w:rPr>
                <w:rFonts w:hint="eastAsia" w:ascii="宋体" w:hAnsi="宋体"/>
              </w:rPr>
              <w:t>3、投标文件的规格：投标文件封面应列明项目名称、招标人名称，投标文件封面必须加盖投标人法定印章，并经法定代表人或授权委托人签字盖章。使用电子版投标文件的，应以U 盘（或光盘）的形式密封在不透明的信封中加盖投标人法定印章；</w:t>
            </w:r>
          </w:p>
          <w:p w14:paraId="18376DB2">
            <w:pPr>
              <w:snapToGrid w:val="0"/>
              <w:spacing w:line="300" w:lineRule="auto"/>
              <w:rPr>
                <w:rFonts w:hint="eastAsia" w:ascii="宋体" w:hAnsi="宋体"/>
              </w:rPr>
            </w:pPr>
            <w:r>
              <w:rPr>
                <w:rFonts w:hint="eastAsia" w:ascii="宋体" w:hAnsi="宋体"/>
              </w:rPr>
              <w:t>4、投标文件的密封要求：投标人应确保投标文件密闭封装，外包装材料不应留有可在包封后添加或抽取投标文件的空隙。</w:t>
            </w:r>
          </w:p>
        </w:tc>
      </w:tr>
    </w:tbl>
    <w:p w14:paraId="069E4304">
      <w:pPr>
        <w:spacing w:before="120" w:line="360" w:lineRule="auto"/>
        <w:ind w:firstLine="540"/>
        <w:rPr>
          <w:rFonts w:ascii="宋体"/>
        </w:rPr>
      </w:pPr>
    </w:p>
    <w:p w14:paraId="123B1531">
      <w:pPr>
        <w:pStyle w:val="13"/>
        <w:rPr>
          <w:rFonts w:hint="eastAsia"/>
        </w:rPr>
      </w:pPr>
      <w:r>
        <w:rPr>
          <w:sz w:val="24"/>
          <w:szCs w:val="24"/>
        </w:rPr>
        <w:br w:type="page"/>
      </w:r>
      <w:r>
        <w:rPr>
          <w:rFonts w:hint="eastAsia"/>
        </w:rPr>
        <w:t>一、说  明</w:t>
      </w:r>
    </w:p>
    <w:p w14:paraId="4B44BDD1">
      <w:pPr>
        <w:pStyle w:val="13"/>
        <w:spacing w:before="0" w:beforeLines="0" w:after="0" w:afterLines="0"/>
        <w:rPr>
          <w:rFonts w:hint="eastAsia"/>
        </w:rPr>
      </w:pPr>
      <w:r>
        <w:rPr>
          <w:rFonts w:hint="eastAsia"/>
        </w:rPr>
        <w:t>1．适用范围及</w:t>
      </w:r>
      <w:r>
        <w:t>项目综合说明</w:t>
      </w:r>
    </w:p>
    <w:p w14:paraId="3225240B">
      <w:pPr>
        <w:adjustRightInd w:val="0"/>
        <w:snapToGrid w:val="0"/>
        <w:spacing w:line="360" w:lineRule="auto"/>
        <w:ind w:left="476" w:hanging="476"/>
        <w:rPr>
          <w:rFonts w:hint="eastAsia" w:ascii="宋体" w:hAnsi="宋体"/>
          <w:szCs w:val="21"/>
        </w:rPr>
      </w:pPr>
      <w:r>
        <w:rPr>
          <w:rFonts w:hint="eastAsia" w:ascii="宋体" w:hAnsi="宋体"/>
          <w:szCs w:val="21"/>
        </w:rPr>
        <w:t>1.1</w:t>
      </w:r>
      <w:r>
        <w:rPr>
          <w:rFonts w:ascii="宋体" w:hAnsi="宋体"/>
          <w:szCs w:val="21"/>
        </w:rPr>
        <w:t xml:space="preserve"> </w:t>
      </w:r>
      <w:r>
        <w:rPr>
          <w:rFonts w:hint="eastAsia" w:ascii="宋体" w:hAnsi="宋体"/>
          <w:szCs w:val="21"/>
        </w:rPr>
        <w:t>本招标文件适用于本次招标所述项目的招标。</w:t>
      </w:r>
      <w:r>
        <w:rPr>
          <w:rFonts w:ascii="宋体" w:hAnsi="宋体"/>
          <w:szCs w:val="21"/>
        </w:rPr>
        <w:t>项目综合说明</w:t>
      </w:r>
      <w:r>
        <w:rPr>
          <w:rFonts w:hint="eastAsia" w:ascii="宋体" w:hAnsi="宋体"/>
          <w:szCs w:val="21"/>
        </w:rPr>
        <w:t>见</w:t>
      </w:r>
      <w:r>
        <w:rPr>
          <w:rFonts w:hint="eastAsia" w:ascii="宋体" w:hAnsi="宋体"/>
          <w:b/>
          <w:bCs/>
          <w:szCs w:val="21"/>
        </w:rPr>
        <w:t>《投标人须知前附表》</w:t>
      </w:r>
      <w:r>
        <w:rPr>
          <w:rFonts w:hint="eastAsia" w:ascii="宋体" w:hAnsi="宋体"/>
          <w:szCs w:val="21"/>
        </w:rPr>
        <w:t>。</w:t>
      </w:r>
    </w:p>
    <w:p w14:paraId="72456307">
      <w:pPr>
        <w:pStyle w:val="13"/>
        <w:spacing w:before="0" w:beforeLines="0" w:after="0" w:afterLines="0"/>
        <w:rPr>
          <w:rFonts w:hint="eastAsia"/>
        </w:rPr>
      </w:pPr>
      <w:r>
        <w:rPr>
          <w:rFonts w:hint="eastAsia"/>
        </w:rPr>
        <w:t>2．定义</w:t>
      </w:r>
    </w:p>
    <w:p w14:paraId="324707B6">
      <w:pPr>
        <w:adjustRightInd w:val="0"/>
        <w:snapToGrid w:val="0"/>
        <w:spacing w:line="360" w:lineRule="auto"/>
        <w:ind w:left="476" w:hanging="476"/>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“招标人”是指：见</w:t>
      </w:r>
      <w:r>
        <w:rPr>
          <w:rFonts w:hint="eastAsia" w:ascii="宋体" w:hAnsi="宋体"/>
          <w:b/>
          <w:bCs/>
          <w:szCs w:val="21"/>
        </w:rPr>
        <w:t>《投标人须知前附表》</w:t>
      </w:r>
      <w:r>
        <w:rPr>
          <w:rFonts w:hint="eastAsia" w:ascii="宋体" w:hAnsi="宋体"/>
          <w:szCs w:val="21"/>
        </w:rPr>
        <w:t>。</w:t>
      </w:r>
    </w:p>
    <w:p w14:paraId="2989C498">
      <w:pPr>
        <w:adjustRightInd w:val="0"/>
        <w:snapToGrid w:val="0"/>
        <w:spacing w:line="360" w:lineRule="auto"/>
        <w:ind w:left="476" w:hanging="476"/>
        <w:rPr>
          <w:rFonts w:hint="eastAsia" w:ascii="宋体" w:hAnsi="宋体"/>
          <w:szCs w:val="21"/>
        </w:rPr>
      </w:pPr>
      <w:r>
        <w:rPr>
          <w:rFonts w:hint="eastAsia" w:ascii="宋体" w:hAnsi="宋体"/>
          <w:szCs w:val="21"/>
        </w:rPr>
        <w:t>2.4</w:t>
      </w:r>
      <w:r>
        <w:rPr>
          <w:rFonts w:ascii="宋体" w:hAnsi="宋体"/>
          <w:szCs w:val="21"/>
        </w:rPr>
        <w:t xml:space="preserve"> </w:t>
      </w:r>
      <w:r>
        <w:rPr>
          <w:rFonts w:hint="eastAsia" w:ascii="宋体" w:hAnsi="宋体"/>
          <w:szCs w:val="21"/>
        </w:rPr>
        <w:t xml:space="preserve">合格的投标人 </w:t>
      </w:r>
    </w:p>
    <w:p w14:paraId="3C498693">
      <w:pPr>
        <w:pStyle w:val="13"/>
        <w:spacing w:before="0" w:beforeLines="0" w:after="0" w:afterLines="0"/>
        <w:ind w:left="424" w:leftChars="202"/>
        <w:outlineLvl w:val="9"/>
        <w:rPr>
          <w:rFonts w:hint="eastAsia"/>
          <w:b w:val="0"/>
          <w:bCs/>
          <w:snapToGrid w:val="0"/>
        </w:rPr>
      </w:pPr>
      <w:r>
        <w:rPr>
          <w:rFonts w:hint="eastAsia"/>
          <w:b w:val="0"/>
          <w:bCs/>
          <w:snapToGrid w:val="0"/>
        </w:rPr>
        <w:t xml:space="preserve">1) 参见“第一部分 </w:t>
      </w:r>
      <w:r>
        <w:rPr>
          <w:b w:val="0"/>
          <w:bCs/>
          <w:snapToGrid w:val="0"/>
        </w:rPr>
        <w:t>招标公告</w:t>
      </w:r>
      <w:r>
        <w:rPr>
          <w:rFonts w:hint="eastAsia"/>
          <w:b w:val="0"/>
          <w:bCs/>
          <w:snapToGrid w:val="0"/>
        </w:rPr>
        <w:t>”。</w:t>
      </w:r>
    </w:p>
    <w:p w14:paraId="3870107F">
      <w:pPr>
        <w:pStyle w:val="13"/>
        <w:spacing w:before="0" w:beforeLines="0" w:after="0" w:afterLines="0"/>
        <w:ind w:left="424" w:leftChars="202"/>
        <w:outlineLvl w:val="9"/>
        <w:rPr>
          <w:rFonts w:hint="eastAsia"/>
          <w:b w:val="0"/>
          <w:bCs/>
          <w:snapToGrid w:val="0"/>
        </w:rPr>
      </w:pPr>
      <w:r>
        <w:rPr>
          <w:rFonts w:hint="eastAsia"/>
          <w:b w:val="0"/>
          <w:bCs/>
          <w:snapToGrid w:val="0"/>
        </w:rPr>
        <w:t>2) 与招标人存在利害关系可能影响招标公正性的法人、其他组织或者个人，不得参加投标。</w:t>
      </w:r>
    </w:p>
    <w:p w14:paraId="5A723F92">
      <w:pPr>
        <w:pStyle w:val="13"/>
        <w:spacing w:before="0" w:beforeLines="0" w:after="0" w:afterLines="0"/>
        <w:ind w:left="424" w:leftChars="202"/>
        <w:outlineLvl w:val="9"/>
        <w:rPr>
          <w:rFonts w:hint="eastAsia"/>
          <w:b w:val="0"/>
          <w:bCs/>
          <w:snapToGrid w:val="0"/>
        </w:rPr>
      </w:pPr>
      <w:r>
        <w:rPr>
          <w:rFonts w:hint="eastAsia"/>
          <w:b w:val="0"/>
          <w:bCs/>
          <w:snapToGrid w:val="0"/>
        </w:rPr>
        <w:t>3) 单位负责人为同一人或者存在控股、管理关系的不同单位，不得参加同一标段投标或者未划分标段的同一招标项目投标。</w:t>
      </w:r>
    </w:p>
    <w:p w14:paraId="74709C6C">
      <w:pPr>
        <w:pStyle w:val="13"/>
        <w:spacing w:before="0" w:beforeLines="0" w:after="0" w:afterLines="0"/>
        <w:ind w:left="424" w:leftChars="202"/>
        <w:outlineLvl w:val="9"/>
        <w:rPr>
          <w:rFonts w:hint="eastAsia"/>
          <w:b w:val="0"/>
          <w:bCs/>
          <w:snapToGrid w:val="0"/>
        </w:rPr>
      </w:pPr>
      <w:r>
        <w:rPr>
          <w:rFonts w:hint="eastAsia"/>
          <w:b w:val="0"/>
          <w:bCs/>
          <w:snapToGrid w:val="0"/>
        </w:rPr>
        <w:t>4)</w:t>
      </w:r>
      <w:r>
        <w:rPr>
          <w:b w:val="0"/>
          <w:bCs/>
          <w:snapToGrid w:val="0"/>
        </w:rPr>
        <w:t xml:space="preserve"> </w:t>
      </w:r>
      <w:r>
        <w:rPr>
          <w:rFonts w:hint="eastAsia"/>
          <w:b w:val="0"/>
          <w:bCs/>
          <w:snapToGrid w:val="0"/>
        </w:rPr>
        <w:t>本项目资格审查方式见</w:t>
      </w:r>
      <w:r>
        <w:rPr>
          <w:rFonts w:hint="eastAsia"/>
          <w:snapToGrid w:val="0"/>
        </w:rPr>
        <w:t>《投标人须知前附表》</w:t>
      </w:r>
      <w:r>
        <w:rPr>
          <w:rFonts w:hint="eastAsia"/>
          <w:b w:val="0"/>
          <w:bCs/>
          <w:snapToGrid w:val="0"/>
        </w:rPr>
        <w:t>。</w:t>
      </w:r>
    </w:p>
    <w:p w14:paraId="6916957D">
      <w:pPr>
        <w:adjustRightInd w:val="0"/>
        <w:snapToGrid w:val="0"/>
        <w:spacing w:line="360" w:lineRule="auto"/>
        <w:ind w:left="476" w:hanging="476"/>
        <w:rPr>
          <w:rFonts w:hint="eastAsia" w:ascii="宋体" w:hAnsi="宋体"/>
          <w:szCs w:val="21"/>
        </w:rPr>
      </w:pPr>
      <w:r>
        <w:rPr>
          <w:rFonts w:hint="eastAsia" w:ascii="宋体" w:hAnsi="宋体"/>
          <w:szCs w:val="21"/>
        </w:rPr>
        <w:t>2.5</w:t>
      </w:r>
      <w:r>
        <w:rPr>
          <w:rFonts w:ascii="宋体" w:hAnsi="宋体"/>
          <w:szCs w:val="21"/>
        </w:rPr>
        <w:t xml:space="preserve"> </w:t>
      </w:r>
      <w:r>
        <w:rPr>
          <w:rFonts w:hint="eastAsia" w:ascii="宋体" w:hAnsi="宋体"/>
          <w:szCs w:val="21"/>
        </w:rPr>
        <w:t>“中标人”是指经法定程序确定并授予合同的投标人。</w:t>
      </w:r>
    </w:p>
    <w:p w14:paraId="38E1A3FF">
      <w:pPr>
        <w:pStyle w:val="13"/>
        <w:spacing w:before="0" w:beforeLines="0" w:after="0" w:afterLines="0"/>
        <w:rPr>
          <w:rFonts w:hint="eastAsia"/>
        </w:rPr>
      </w:pPr>
      <w:r>
        <w:rPr>
          <w:rFonts w:hint="eastAsia"/>
        </w:rPr>
        <w:t>3．合格的货物和服务</w:t>
      </w:r>
    </w:p>
    <w:p w14:paraId="73ED0E42">
      <w:pPr>
        <w:adjustRightInd w:val="0"/>
        <w:snapToGrid w:val="0"/>
        <w:spacing w:line="360" w:lineRule="auto"/>
        <w:ind w:left="476" w:hanging="476"/>
        <w:rPr>
          <w:rFonts w:hint="eastAsia" w:ascii="宋体" w:hAnsi="宋体"/>
          <w:szCs w:val="21"/>
        </w:rPr>
      </w:pPr>
      <w:r>
        <w:rPr>
          <w:rFonts w:hint="eastAsia" w:ascii="宋体" w:hAnsi="宋体"/>
          <w:szCs w:val="21"/>
        </w:rPr>
        <w:t>3.1</w:t>
      </w:r>
      <w:r>
        <w:rPr>
          <w:rFonts w:ascii="宋体" w:hAnsi="宋体"/>
          <w:szCs w:val="21"/>
        </w:rPr>
        <w:t xml:space="preserve"> </w:t>
      </w:r>
      <w:r>
        <w:rPr>
          <w:rFonts w:hint="eastAsia" w:ascii="宋体" w:hAnsi="宋体"/>
          <w:szCs w:val="21"/>
        </w:rPr>
        <w:t>“货物”是指投标人制造或组织符合招标文件要求的货物等。投标的货物必须是其合法生产的符合国家有关标准要求的货物，并满足招标文件规定的规格、参数、质量、价格、有效期、售后服务等要求。</w:t>
      </w:r>
    </w:p>
    <w:p w14:paraId="314772EF">
      <w:pPr>
        <w:adjustRightInd w:val="0"/>
        <w:snapToGrid w:val="0"/>
        <w:spacing w:line="360" w:lineRule="auto"/>
        <w:ind w:left="476" w:hanging="476"/>
        <w:rPr>
          <w:rFonts w:hint="eastAsia" w:ascii="宋体" w:hAnsi="宋体"/>
          <w:szCs w:val="21"/>
        </w:rPr>
      </w:pPr>
      <w:r>
        <w:rPr>
          <w:rFonts w:hint="eastAsia" w:ascii="宋体" w:hAnsi="宋体"/>
          <w:szCs w:val="21"/>
        </w:rPr>
        <w:t>3.2</w:t>
      </w:r>
      <w:r>
        <w:rPr>
          <w:rFonts w:ascii="宋体" w:hAnsi="宋体"/>
          <w:szCs w:val="21"/>
        </w:rPr>
        <w:t xml:space="preserve"> </w:t>
      </w:r>
      <w:r>
        <w:rPr>
          <w:rFonts w:hint="eastAsia" w:ascii="宋体" w:hAnsi="宋体"/>
          <w:szCs w:val="21"/>
        </w:rPr>
        <w:t>“服务”是指除货物和工程以外的其他采购对象,其中包括：投标人须承担的运输、安装、技术支持、培训以及招标文件规定的其它服务。</w:t>
      </w:r>
    </w:p>
    <w:p w14:paraId="5608F004">
      <w:pPr>
        <w:pStyle w:val="13"/>
        <w:spacing w:before="0" w:beforeLines="0" w:after="0" w:afterLines="0"/>
        <w:rPr>
          <w:rFonts w:hint="eastAsia"/>
        </w:rPr>
      </w:pPr>
      <w:r>
        <w:rPr>
          <w:rFonts w:hint="eastAsia"/>
        </w:rPr>
        <w:t>4．投标费用</w:t>
      </w:r>
    </w:p>
    <w:p w14:paraId="0EB57C96">
      <w:pPr>
        <w:adjustRightInd w:val="0"/>
        <w:snapToGrid w:val="0"/>
        <w:spacing w:line="360" w:lineRule="auto"/>
        <w:ind w:left="476" w:hanging="476"/>
        <w:rPr>
          <w:bCs/>
          <w:snapToGrid w:val="0"/>
        </w:rPr>
      </w:pPr>
      <w:r>
        <w:rPr>
          <w:rFonts w:hint="eastAsia" w:ascii="宋体" w:hAnsi="宋体"/>
          <w:szCs w:val="21"/>
        </w:rPr>
        <w:t>4.1</w:t>
      </w:r>
      <w:r>
        <w:rPr>
          <w:rFonts w:ascii="宋体" w:hAnsi="宋体"/>
          <w:szCs w:val="21"/>
        </w:rPr>
        <w:t xml:space="preserve"> </w:t>
      </w:r>
      <w:r>
        <w:rPr>
          <w:rFonts w:hint="eastAsia" w:ascii="宋体" w:hAnsi="宋体"/>
          <w:szCs w:val="21"/>
        </w:rPr>
        <w:t>投标人应承担所有与准备和参加投标有关的费用。不论投标的结果如何，招标人均无义务和责任承担这些费用。</w:t>
      </w:r>
    </w:p>
    <w:p w14:paraId="7BF66C3B">
      <w:pPr>
        <w:pStyle w:val="13"/>
        <w:rPr>
          <w:rFonts w:hint="eastAsia"/>
        </w:rPr>
      </w:pPr>
      <w:r>
        <w:rPr>
          <w:rFonts w:hint="eastAsia"/>
        </w:rPr>
        <w:t>二、招标文件</w:t>
      </w:r>
    </w:p>
    <w:p w14:paraId="7628B8B4">
      <w:pPr>
        <w:pStyle w:val="13"/>
        <w:spacing w:before="0" w:beforeLines="0" w:after="0" w:afterLines="0"/>
        <w:rPr>
          <w:rFonts w:hint="eastAsia"/>
        </w:rPr>
      </w:pPr>
      <w:r>
        <w:rPr>
          <w:rFonts w:hint="eastAsia"/>
        </w:rPr>
        <w:t>5. 招标文件的构成</w:t>
      </w:r>
    </w:p>
    <w:p w14:paraId="26BB326A">
      <w:pPr>
        <w:adjustRightInd w:val="0"/>
        <w:snapToGrid w:val="0"/>
        <w:spacing w:line="360" w:lineRule="auto"/>
        <w:ind w:left="476" w:hanging="476"/>
        <w:rPr>
          <w:rFonts w:hint="eastAsia" w:ascii="宋体" w:hAnsi="宋体"/>
          <w:szCs w:val="21"/>
        </w:rPr>
      </w:pPr>
      <w:r>
        <w:rPr>
          <w:rFonts w:hint="eastAsia" w:ascii="宋体" w:hAnsi="宋体"/>
          <w:szCs w:val="21"/>
        </w:rPr>
        <w:t>5.1</w:t>
      </w:r>
      <w:r>
        <w:rPr>
          <w:rFonts w:ascii="宋体" w:hAnsi="宋体"/>
          <w:szCs w:val="21"/>
        </w:rPr>
        <w:t xml:space="preserve"> </w:t>
      </w:r>
      <w:r>
        <w:rPr>
          <w:rFonts w:hint="eastAsia" w:ascii="宋体" w:hAnsi="宋体"/>
          <w:szCs w:val="21"/>
        </w:rPr>
        <w:t>招标文件由下列文件以及在招标过程中发出的修正和补充文件组成：</w:t>
      </w:r>
    </w:p>
    <w:p w14:paraId="0D807319">
      <w:pPr>
        <w:pStyle w:val="13"/>
        <w:spacing w:before="0" w:beforeLines="0" w:after="0" w:afterLines="0"/>
        <w:ind w:left="424" w:leftChars="202"/>
        <w:outlineLvl w:val="9"/>
        <w:rPr>
          <w:rFonts w:hint="eastAsia"/>
          <w:b w:val="0"/>
          <w:bCs/>
          <w:snapToGrid w:val="0"/>
        </w:rPr>
      </w:pPr>
      <w:r>
        <w:rPr>
          <w:rFonts w:hint="eastAsia"/>
          <w:b w:val="0"/>
          <w:bCs/>
          <w:snapToGrid w:val="0"/>
        </w:rPr>
        <w:t>1) 招标公告</w:t>
      </w:r>
    </w:p>
    <w:p w14:paraId="6972F2B7">
      <w:pPr>
        <w:pStyle w:val="13"/>
        <w:spacing w:before="0" w:beforeLines="0" w:after="0" w:afterLines="0"/>
        <w:ind w:left="424" w:leftChars="202"/>
        <w:outlineLvl w:val="9"/>
        <w:rPr>
          <w:rFonts w:hint="eastAsia"/>
          <w:b w:val="0"/>
          <w:bCs/>
          <w:snapToGrid w:val="0"/>
        </w:rPr>
      </w:pPr>
      <w:r>
        <w:rPr>
          <w:rFonts w:hint="eastAsia"/>
          <w:b w:val="0"/>
          <w:bCs/>
          <w:snapToGrid w:val="0"/>
        </w:rPr>
        <w:t>2) 用户需求书</w:t>
      </w:r>
    </w:p>
    <w:p w14:paraId="5743BAD5">
      <w:pPr>
        <w:pStyle w:val="13"/>
        <w:spacing w:before="0" w:beforeLines="0" w:after="0" w:afterLines="0"/>
        <w:ind w:left="424" w:leftChars="202"/>
        <w:outlineLvl w:val="9"/>
        <w:rPr>
          <w:rFonts w:hint="eastAsia"/>
          <w:b w:val="0"/>
          <w:bCs/>
          <w:snapToGrid w:val="0"/>
        </w:rPr>
      </w:pPr>
      <w:r>
        <w:rPr>
          <w:rFonts w:hint="eastAsia"/>
          <w:b w:val="0"/>
          <w:bCs/>
          <w:snapToGrid w:val="0"/>
        </w:rPr>
        <w:t>3) 投标人须知</w:t>
      </w:r>
    </w:p>
    <w:p w14:paraId="37EF33A3">
      <w:pPr>
        <w:pStyle w:val="13"/>
        <w:spacing w:before="0" w:beforeLines="0" w:after="0" w:afterLines="0"/>
        <w:ind w:left="424" w:leftChars="202"/>
        <w:outlineLvl w:val="9"/>
        <w:rPr>
          <w:rFonts w:hint="eastAsia"/>
          <w:b w:val="0"/>
          <w:bCs/>
          <w:snapToGrid w:val="0"/>
        </w:rPr>
      </w:pPr>
      <w:r>
        <w:rPr>
          <w:rFonts w:hint="eastAsia"/>
          <w:b w:val="0"/>
          <w:bCs/>
          <w:snapToGrid w:val="0"/>
        </w:rPr>
        <w:t>4) 评标办法</w:t>
      </w:r>
    </w:p>
    <w:p w14:paraId="082B65EA">
      <w:pPr>
        <w:pStyle w:val="13"/>
        <w:spacing w:before="0" w:beforeLines="0" w:after="0" w:afterLines="0"/>
        <w:ind w:left="424" w:leftChars="202"/>
        <w:outlineLvl w:val="9"/>
        <w:rPr>
          <w:rFonts w:hint="eastAsia"/>
          <w:b w:val="0"/>
          <w:bCs/>
          <w:snapToGrid w:val="0"/>
        </w:rPr>
      </w:pPr>
      <w:r>
        <w:rPr>
          <w:rFonts w:hint="eastAsia"/>
          <w:b w:val="0"/>
          <w:bCs/>
          <w:snapToGrid w:val="0"/>
        </w:rPr>
        <w:t>5) 合同书格式</w:t>
      </w:r>
    </w:p>
    <w:p w14:paraId="60F0039B">
      <w:pPr>
        <w:pStyle w:val="13"/>
        <w:spacing w:before="0" w:beforeLines="0" w:after="0" w:afterLines="0"/>
        <w:ind w:left="424" w:leftChars="202"/>
        <w:outlineLvl w:val="9"/>
        <w:rPr>
          <w:rFonts w:hint="eastAsia"/>
          <w:b w:val="0"/>
          <w:bCs/>
          <w:snapToGrid w:val="0"/>
        </w:rPr>
      </w:pPr>
      <w:r>
        <w:rPr>
          <w:rFonts w:hint="eastAsia"/>
          <w:b w:val="0"/>
          <w:bCs/>
          <w:snapToGrid w:val="0"/>
        </w:rPr>
        <w:t>6) 投标文件格式</w:t>
      </w:r>
    </w:p>
    <w:p w14:paraId="017F8503">
      <w:pPr>
        <w:pStyle w:val="13"/>
        <w:spacing w:before="0" w:beforeLines="0" w:after="0" w:afterLines="0"/>
        <w:ind w:left="424" w:leftChars="202"/>
        <w:outlineLvl w:val="9"/>
        <w:rPr>
          <w:rFonts w:hint="eastAsia"/>
          <w:b w:val="0"/>
          <w:bCs/>
          <w:snapToGrid w:val="0"/>
        </w:rPr>
      </w:pPr>
      <w:r>
        <w:rPr>
          <w:rFonts w:hint="eastAsia"/>
          <w:b w:val="0"/>
          <w:bCs/>
          <w:snapToGrid w:val="0"/>
        </w:rPr>
        <w:t>7) 在招标过程中由招标人发出的修正和补充文件等</w:t>
      </w:r>
    </w:p>
    <w:p w14:paraId="6D81C28F">
      <w:pPr>
        <w:adjustRightInd w:val="0"/>
        <w:snapToGrid w:val="0"/>
        <w:spacing w:line="360" w:lineRule="auto"/>
        <w:ind w:left="476" w:hanging="476"/>
        <w:rPr>
          <w:rFonts w:hint="eastAsia" w:ascii="宋体" w:hAnsi="宋体"/>
          <w:szCs w:val="21"/>
        </w:rPr>
      </w:pPr>
      <w:r>
        <w:rPr>
          <w:rFonts w:hint="eastAsia" w:ascii="宋体" w:hAnsi="宋体"/>
          <w:szCs w:val="21"/>
        </w:rPr>
        <w:t>5.2</w:t>
      </w:r>
      <w:r>
        <w:rPr>
          <w:rFonts w:ascii="宋体" w:hAnsi="宋体"/>
          <w:szCs w:val="21"/>
        </w:rPr>
        <w:t xml:space="preserve"> </w:t>
      </w:r>
      <w:r>
        <w:rPr>
          <w:rFonts w:hint="eastAsia" w:ascii="宋体" w:hAnsi="宋体"/>
          <w:szCs w:val="21"/>
        </w:rPr>
        <w:t>投标人应认真阅读、并充分理解招标文件的全部内容（包括所有的补充、修改内容、重要事项、格式、条款和技术规范、参数及要求等）。投标人没有按照招标文件要求提交全部资料，或者投标没有对招标文件在各方面都做出实质性响应是投标人的风险，有可能导致其投标被拒绝，或被认定为无效投标或被确定为投标无效。</w:t>
      </w:r>
    </w:p>
    <w:p w14:paraId="6EC978CB">
      <w:pPr>
        <w:pStyle w:val="13"/>
        <w:spacing w:before="0" w:beforeLines="0" w:after="0" w:afterLines="0"/>
        <w:rPr>
          <w:rFonts w:hint="eastAsia"/>
        </w:rPr>
      </w:pPr>
      <w:r>
        <w:rPr>
          <w:rFonts w:hint="eastAsia"/>
        </w:rPr>
        <w:t>6．对招标文件的澄清问题</w:t>
      </w:r>
    </w:p>
    <w:p w14:paraId="150370F2">
      <w:pPr>
        <w:adjustRightInd w:val="0"/>
        <w:snapToGrid w:val="0"/>
        <w:spacing w:line="360" w:lineRule="auto"/>
        <w:ind w:left="476" w:hanging="476"/>
        <w:rPr>
          <w:rFonts w:hint="eastAsia" w:ascii="宋体" w:hAnsi="宋体"/>
          <w:szCs w:val="21"/>
        </w:rPr>
      </w:pPr>
      <w:r>
        <w:rPr>
          <w:rFonts w:hint="eastAsia" w:ascii="宋体" w:hAnsi="宋体"/>
          <w:szCs w:val="21"/>
        </w:rPr>
        <w:t>6.1</w:t>
      </w:r>
      <w:r>
        <w:rPr>
          <w:rFonts w:ascii="宋体" w:hAnsi="宋体"/>
          <w:szCs w:val="21"/>
        </w:rPr>
        <w:t xml:space="preserve"> </w:t>
      </w:r>
      <w:r>
        <w:rPr>
          <w:rFonts w:hint="eastAsia" w:ascii="宋体" w:hAnsi="宋体"/>
          <w:szCs w:val="21"/>
        </w:rPr>
        <w:t>任何要求对招标文件提出澄清问题的投标人，均应在投标截止时间2日以前，通过电话、电子邮件和纸质文件等可以有形地表现所载内容的形式。</w:t>
      </w:r>
    </w:p>
    <w:p w14:paraId="2FBEEA85">
      <w:pPr>
        <w:adjustRightInd w:val="0"/>
        <w:snapToGrid w:val="0"/>
        <w:spacing w:line="360" w:lineRule="auto"/>
        <w:ind w:left="420" w:hanging="420"/>
        <w:rPr>
          <w:rFonts w:hint="eastAsia" w:ascii="宋体" w:hAnsi="宋体"/>
          <w:szCs w:val="21"/>
        </w:rPr>
      </w:pPr>
      <w:r>
        <w:rPr>
          <w:rFonts w:hint="eastAsia" w:ascii="宋体" w:hAnsi="宋体"/>
          <w:szCs w:val="21"/>
        </w:rPr>
        <w:t>6.2</w:t>
      </w:r>
      <w:r>
        <w:rPr>
          <w:rFonts w:ascii="宋体" w:hAnsi="宋体"/>
          <w:szCs w:val="21"/>
        </w:rPr>
        <w:t xml:space="preserve"> </w:t>
      </w:r>
      <w:r>
        <w:rPr>
          <w:rFonts w:hint="eastAsia" w:ascii="宋体" w:hAnsi="宋体"/>
          <w:szCs w:val="21"/>
        </w:rPr>
        <w:t>投标人未在规定的时间内提出招标文件澄清问题的，招标人将视其为无异议。对招标文件中描述有歧意或前后不一致的地方，评标委员会有权进行评判，但对同一条款的评判应适用于每个投标人。</w:t>
      </w:r>
    </w:p>
    <w:p w14:paraId="5FA84DE7">
      <w:pPr>
        <w:pStyle w:val="13"/>
        <w:spacing w:before="0" w:beforeLines="0" w:after="0" w:afterLines="0"/>
        <w:rPr>
          <w:rFonts w:hint="eastAsia"/>
        </w:rPr>
      </w:pPr>
      <w:r>
        <w:rPr>
          <w:rFonts w:hint="eastAsia"/>
        </w:rPr>
        <w:t>7．招标文件的澄清与修改</w:t>
      </w:r>
    </w:p>
    <w:p w14:paraId="69771AC7">
      <w:pPr>
        <w:adjustRightInd w:val="0"/>
        <w:snapToGrid w:val="0"/>
        <w:spacing w:line="360" w:lineRule="auto"/>
        <w:ind w:left="420" w:hanging="420"/>
        <w:rPr>
          <w:rFonts w:hint="eastAsia" w:ascii="宋体" w:hAnsi="宋体"/>
          <w:szCs w:val="21"/>
        </w:rPr>
      </w:pPr>
      <w:r>
        <w:rPr>
          <w:rFonts w:hint="eastAsia" w:ascii="宋体" w:hAnsi="宋体"/>
          <w:szCs w:val="21"/>
        </w:rPr>
        <w:t>7.l</w:t>
      </w:r>
      <w:r>
        <w:rPr>
          <w:rFonts w:ascii="宋体" w:hAnsi="宋体"/>
          <w:szCs w:val="21"/>
        </w:rPr>
        <w:t xml:space="preserve"> </w:t>
      </w:r>
      <w:r>
        <w:rPr>
          <w:rFonts w:hint="eastAsia" w:ascii="宋体" w:hAnsi="宋体"/>
          <w:szCs w:val="21"/>
        </w:rPr>
        <w:t>在投标截止时间2日以前，无论出于何种原因，招标人可主动地或在解答投标人提出的疑问时对招标文件进行澄清与修改。</w:t>
      </w:r>
    </w:p>
    <w:p w14:paraId="2850F7DC">
      <w:pPr>
        <w:adjustRightInd w:val="0"/>
        <w:snapToGrid w:val="0"/>
        <w:spacing w:line="360" w:lineRule="auto"/>
        <w:ind w:left="420" w:hanging="420"/>
        <w:rPr>
          <w:rFonts w:hint="eastAsia" w:ascii="宋体" w:hAnsi="宋体"/>
          <w:szCs w:val="21"/>
        </w:rPr>
      </w:pPr>
      <w:r>
        <w:rPr>
          <w:rFonts w:hint="eastAsia" w:ascii="宋体" w:hAnsi="宋体"/>
          <w:szCs w:val="21"/>
        </w:rPr>
        <w:t>7.2</w:t>
      </w:r>
      <w:r>
        <w:rPr>
          <w:rFonts w:ascii="宋体" w:hAnsi="宋体"/>
          <w:szCs w:val="21"/>
        </w:rPr>
        <w:t xml:space="preserve"> </w:t>
      </w:r>
      <w:r>
        <w:rPr>
          <w:rFonts w:hint="eastAsia" w:ascii="宋体" w:hAnsi="宋体"/>
          <w:szCs w:val="21"/>
        </w:rPr>
        <w:t>招标文件澄清与修改后的内容是招标文件的组成部分，将以书面形式通知所有购买招标文件的潜在投标人，并对潜在投标人具有约束力。当招标文件、招标文件澄清与修改内容相互矛盾时，以最后时间发出的内容为准。</w:t>
      </w:r>
    </w:p>
    <w:p w14:paraId="0B8E6858">
      <w:pPr>
        <w:adjustRightInd w:val="0"/>
        <w:snapToGrid w:val="0"/>
        <w:spacing w:line="360" w:lineRule="auto"/>
        <w:ind w:left="420" w:hanging="420"/>
        <w:rPr>
          <w:rFonts w:hint="eastAsia" w:ascii="宋体" w:hAnsi="宋体"/>
          <w:szCs w:val="21"/>
        </w:rPr>
      </w:pPr>
      <w:r>
        <w:rPr>
          <w:rFonts w:hint="eastAsia" w:ascii="宋体" w:hAnsi="宋体"/>
          <w:szCs w:val="21"/>
        </w:rPr>
        <w:t>7.3 招标文件的澄清与修改是招标文件的组成部分，将通过广州工控集团官方网站采购平台（https://ips.giihg.com）或广重集团官方网站（https://www.gzhm.com）通知所有获取招标文件的潜在投标人，并对其具有约束力。</w:t>
      </w:r>
    </w:p>
    <w:p w14:paraId="400D165D">
      <w:pPr>
        <w:adjustRightInd w:val="0"/>
        <w:snapToGrid w:val="0"/>
        <w:spacing w:line="360" w:lineRule="auto"/>
        <w:ind w:left="420" w:hanging="420"/>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为使投标人准备投标时有充足时间对招标文件的澄清与修改部分进行研究，招标人可适当推迟投标截止期，但应发布公告并书面通知所有获取招标文件的潜在投标人。</w:t>
      </w:r>
    </w:p>
    <w:p w14:paraId="7669552C">
      <w:pPr>
        <w:pStyle w:val="13"/>
        <w:rPr>
          <w:rFonts w:hint="eastAsia"/>
        </w:rPr>
      </w:pPr>
      <w:r>
        <w:rPr>
          <w:rFonts w:hint="eastAsia"/>
        </w:rPr>
        <w:t>三、投标文件的编制和数量</w:t>
      </w:r>
    </w:p>
    <w:p w14:paraId="068BDA10">
      <w:pPr>
        <w:pStyle w:val="13"/>
        <w:spacing w:before="0" w:beforeLines="0" w:after="0" w:afterLines="0"/>
        <w:rPr>
          <w:rFonts w:hint="eastAsia"/>
        </w:rPr>
      </w:pPr>
      <w:r>
        <w:rPr>
          <w:rFonts w:hint="eastAsia"/>
        </w:rPr>
        <w:t>8．投标的语言</w:t>
      </w:r>
    </w:p>
    <w:p w14:paraId="1E3564AA">
      <w:pPr>
        <w:adjustRightInd w:val="0"/>
        <w:snapToGrid w:val="0"/>
        <w:spacing w:line="360" w:lineRule="auto"/>
        <w:ind w:left="420" w:hanging="420"/>
        <w:rPr>
          <w:rFonts w:hint="eastAsia" w:ascii="宋体" w:hAnsi="宋体"/>
          <w:szCs w:val="21"/>
        </w:rPr>
      </w:pPr>
      <w:r>
        <w:rPr>
          <w:rFonts w:hint="eastAsia" w:ascii="宋体" w:hAnsi="宋体"/>
          <w:szCs w:val="21"/>
        </w:rPr>
        <w:t>8.1</w:t>
      </w:r>
      <w:r>
        <w:rPr>
          <w:rFonts w:ascii="宋体" w:hAnsi="宋体"/>
          <w:szCs w:val="21"/>
        </w:rPr>
        <w:t xml:space="preserve"> </w:t>
      </w:r>
      <w:r>
        <w:rPr>
          <w:rFonts w:hint="eastAsia" w:ascii="宋体" w:hAnsi="宋体"/>
          <w:szCs w:val="21"/>
        </w:rPr>
        <w:t>投标人提交的投标文件以及投标人与招标人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14:paraId="6ACA1E2D">
      <w:pPr>
        <w:pStyle w:val="13"/>
        <w:spacing w:before="0" w:beforeLines="0" w:after="0" w:afterLines="0"/>
        <w:rPr>
          <w:rFonts w:hint="eastAsia"/>
        </w:rPr>
      </w:pPr>
      <w:r>
        <w:rPr>
          <w:rFonts w:hint="eastAsia"/>
        </w:rPr>
        <w:t>9．投标文件的构成</w:t>
      </w:r>
    </w:p>
    <w:p w14:paraId="4A90781D">
      <w:pPr>
        <w:adjustRightInd w:val="0"/>
        <w:snapToGrid w:val="0"/>
        <w:spacing w:line="360" w:lineRule="auto"/>
        <w:ind w:left="420" w:hanging="420"/>
        <w:rPr>
          <w:rFonts w:hint="eastAsia" w:ascii="宋体" w:hAnsi="宋体"/>
          <w:szCs w:val="21"/>
        </w:rPr>
      </w:pPr>
      <w:r>
        <w:rPr>
          <w:rFonts w:hint="eastAsia" w:ascii="宋体" w:hAnsi="宋体"/>
          <w:szCs w:val="21"/>
        </w:rPr>
        <w:t>9.1</w:t>
      </w:r>
      <w:r>
        <w:rPr>
          <w:rFonts w:ascii="宋体" w:hAnsi="宋体"/>
          <w:szCs w:val="21"/>
        </w:rPr>
        <w:t xml:space="preserve"> </w:t>
      </w:r>
      <w:r>
        <w:rPr>
          <w:rFonts w:hint="eastAsia" w:ascii="宋体" w:hAnsi="宋体"/>
          <w:szCs w:val="21"/>
        </w:rPr>
        <w:t>投标文件的构成应符合法律法规及招标文件的要求。</w:t>
      </w:r>
    </w:p>
    <w:p w14:paraId="6B64687F">
      <w:pPr>
        <w:adjustRightInd w:val="0"/>
        <w:snapToGrid w:val="0"/>
        <w:spacing w:line="360" w:lineRule="auto"/>
        <w:ind w:left="420" w:hanging="420"/>
        <w:rPr>
          <w:rFonts w:hint="eastAsia" w:ascii="宋体" w:hAnsi="宋体"/>
          <w:szCs w:val="21"/>
        </w:rPr>
      </w:pPr>
      <w:r>
        <w:rPr>
          <w:rFonts w:hint="eastAsia" w:ascii="宋体" w:hAnsi="宋体"/>
          <w:szCs w:val="21"/>
        </w:rPr>
        <w:t>9.2</w:t>
      </w:r>
      <w:r>
        <w:rPr>
          <w:rFonts w:ascii="宋体" w:hAnsi="宋体"/>
          <w:szCs w:val="21"/>
        </w:rPr>
        <w:t xml:space="preserve"> </w:t>
      </w:r>
      <w:r>
        <w:rPr>
          <w:rFonts w:hint="eastAsia" w:ascii="宋体" w:hAnsi="宋体"/>
          <w:szCs w:val="21"/>
        </w:rPr>
        <w:t xml:space="preserve">投标人应按本招标文件规定的内容和格式编制并提交投标文件，投标文件应参照招标文件“第六部分 投标文件格式”的内容要求、编排顺序和格式要求，按顺序编制，提供全面的投标文件。包含但不限于以下内容： </w:t>
      </w:r>
    </w:p>
    <w:p w14:paraId="481FE5F9">
      <w:pPr>
        <w:tabs>
          <w:tab w:val="left" w:pos="360"/>
        </w:tabs>
        <w:adjustRightInd w:val="0"/>
        <w:snapToGrid w:val="0"/>
        <w:spacing w:line="360" w:lineRule="auto"/>
        <w:ind w:left="672" w:hanging="312"/>
        <w:rPr>
          <w:rFonts w:hint="eastAsia" w:ascii="宋体" w:hAnsi="宋体"/>
          <w:snapToGrid w:val="0"/>
          <w:kern w:val="0"/>
          <w:szCs w:val="21"/>
        </w:rPr>
      </w:pPr>
      <w:r>
        <w:rPr>
          <w:rFonts w:hint="eastAsia" w:ascii="宋体" w:hAnsi="宋体"/>
          <w:snapToGrid w:val="0"/>
          <w:kern w:val="0"/>
          <w:szCs w:val="21"/>
        </w:rPr>
        <w:t>1)符合性审查自查表</w:t>
      </w:r>
    </w:p>
    <w:p w14:paraId="31A7BD56">
      <w:pPr>
        <w:tabs>
          <w:tab w:val="left" w:pos="360"/>
        </w:tabs>
        <w:adjustRightInd w:val="0"/>
        <w:snapToGrid w:val="0"/>
        <w:spacing w:line="360" w:lineRule="auto"/>
        <w:ind w:left="672" w:hanging="312"/>
        <w:rPr>
          <w:rFonts w:hint="eastAsia" w:ascii="宋体" w:hAnsi="宋体"/>
          <w:snapToGrid w:val="0"/>
          <w:kern w:val="0"/>
          <w:szCs w:val="21"/>
        </w:rPr>
      </w:pPr>
      <w:r>
        <w:rPr>
          <w:rFonts w:hint="eastAsia" w:ascii="宋体" w:hAnsi="宋体"/>
          <w:snapToGrid w:val="0"/>
          <w:kern w:val="0"/>
          <w:szCs w:val="21"/>
        </w:rPr>
        <w:t>2)</w:t>
      </w:r>
      <w:r>
        <w:rPr>
          <w:rFonts w:ascii="宋体" w:hAnsi="宋体"/>
          <w:snapToGrid w:val="0"/>
          <w:kern w:val="0"/>
          <w:szCs w:val="21"/>
        </w:rPr>
        <w:t xml:space="preserve"> </w:t>
      </w:r>
      <w:r>
        <w:rPr>
          <w:rFonts w:hint="eastAsia" w:ascii="宋体" w:hAnsi="宋体"/>
          <w:snapToGrid w:val="0"/>
          <w:kern w:val="0"/>
          <w:szCs w:val="21"/>
        </w:rPr>
        <w:t>投标报价表</w:t>
      </w:r>
    </w:p>
    <w:p w14:paraId="228AD3EB">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① 投标报价总表</w:t>
      </w:r>
    </w:p>
    <w:p w14:paraId="1DA39F6D">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② 投标报价明细表</w:t>
      </w:r>
    </w:p>
    <w:p w14:paraId="45C6303E">
      <w:pPr>
        <w:tabs>
          <w:tab w:val="left" w:pos="360"/>
        </w:tabs>
        <w:adjustRightInd w:val="0"/>
        <w:snapToGrid w:val="0"/>
        <w:spacing w:line="360" w:lineRule="auto"/>
        <w:ind w:left="672" w:hanging="312"/>
        <w:rPr>
          <w:rFonts w:hint="eastAsia" w:ascii="宋体" w:hAnsi="宋体"/>
          <w:snapToGrid w:val="0"/>
          <w:kern w:val="0"/>
          <w:szCs w:val="21"/>
        </w:rPr>
      </w:pPr>
      <w:r>
        <w:rPr>
          <w:rFonts w:hint="eastAsia" w:ascii="宋体" w:hAnsi="宋体"/>
          <w:snapToGrid w:val="0"/>
          <w:kern w:val="0"/>
          <w:szCs w:val="21"/>
        </w:rPr>
        <w:t>3)</w:t>
      </w:r>
      <w:r>
        <w:rPr>
          <w:rFonts w:ascii="宋体" w:hAnsi="宋体"/>
          <w:snapToGrid w:val="0"/>
          <w:kern w:val="0"/>
          <w:szCs w:val="21"/>
        </w:rPr>
        <w:t xml:space="preserve"> </w:t>
      </w:r>
      <w:r>
        <w:rPr>
          <w:rFonts w:hint="eastAsia" w:ascii="宋体" w:hAnsi="宋体"/>
          <w:snapToGrid w:val="0"/>
          <w:kern w:val="0"/>
          <w:szCs w:val="21"/>
        </w:rPr>
        <w:t>资格性文件</w:t>
      </w:r>
    </w:p>
    <w:p w14:paraId="6351DE96">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① 投标函</w:t>
      </w:r>
    </w:p>
    <w:p w14:paraId="1F0ED270">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② 授权委托书</w:t>
      </w:r>
    </w:p>
    <w:p w14:paraId="793CA75D">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③ 投标保证金交纳凭证</w:t>
      </w:r>
    </w:p>
    <w:p w14:paraId="2C3A9E13">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④ 关于资格的声明函</w:t>
      </w:r>
    </w:p>
    <w:p w14:paraId="3A9FF782">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⑤ 投标承诺书</w:t>
      </w:r>
    </w:p>
    <w:p w14:paraId="236C47CC">
      <w:pPr>
        <w:tabs>
          <w:tab w:val="left" w:pos="360"/>
        </w:tabs>
        <w:adjustRightInd w:val="0"/>
        <w:snapToGrid w:val="0"/>
        <w:spacing w:line="360" w:lineRule="auto"/>
        <w:ind w:left="672" w:hanging="312"/>
        <w:rPr>
          <w:rFonts w:hint="eastAsia" w:ascii="宋体" w:hAnsi="宋体"/>
          <w:snapToGrid w:val="0"/>
          <w:kern w:val="0"/>
          <w:szCs w:val="21"/>
        </w:rPr>
      </w:pPr>
      <w:r>
        <w:rPr>
          <w:rFonts w:hint="eastAsia" w:ascii="宋体" w:hAnsi="宋体"/>
          <w:snapToGrid w:val="0"/>
          <w:kern w:val="0"/>
          <w:szCs w:val="21"/>
        </w:rPr>
        <w:t>4)</w:t>
      </w:r>
      <w:r>
        <w:rPr>
          <w:rFonts w:ascii="宋体" w:hAnsi="宋体"/>
          <w:snapToGrid w:val="0"/>
          <w:kern w:val="0"/>
          <w:szCs w:val="21"/>
        </w:rPr>
        <w:t xml:space="preserve"> </w:t>
      </w:r>
      <w:r>
        <w:rPr>
          <w:rFonts w:hint="eastAsia" w:ascii="宋体" w:hAnsi="宋体"/>
          <w:snapToGrid w:val="0"/>
          <w:kern w:val="0"/>
          <w:szCs w:val="21"/>
        </w:rPr>
        <w:t>商务部分</w:t>
      </w:r>
    </w:p>
    <w:p w14:paraId="5B0D44FD">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① 投标人概况</w:t>
      </w:r>
    </w:p>
    <w:p w14:paraId="4D82FEB9">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② 商务条款响应表</w:t>
      </w:r>
    </w:p>
    <w:p w14:paraId="06A994B7">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③ 企业管理体系认证</w:t>
      </w:r>
    </w:p>
    <w:p w14:paraId="520A12E2">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④ 投标人同类项目的业绩介绍</w:t>
      </w:r>
    </w:p>
    <w:p w14:paraId="292478C9">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⑤ 拟任执行管理及技术人员情况</w:t>
      </w:r>
    </w:p>
    <w:p w14:paraId="6A65365D">
      <w:pPr>
        <w:tabs>
          <w:tab w:val="left" w:pos="360"/>
        </w:tabs>
        <w:adjustRightInd w:val="0"/>
        <w:snapToGrid w:val="0"/>
        <w:spacing w:line="360" w:lineRule="auto"/>
        <w:ind w:left="672" w:hanging="312"/>
        <w:rPr>
          <w:rFonts w:hint="eastAsia" w:ascii="宋体" w:hAnsi="宋体"/>
          <w:snapToGrid w:val="0"/>
          <w:kern w:val="0"/>
          <w:szCs w:val="21"/>
        </w:rPr>
      </w:pPr>
      <w:r>
        <w:rPr>
          <w:rFonts w:ascii="宋体" w:hAnsi="宋体"/>
          <w:snapToGrid w:val="0"/>
          <w:kern w:val="0"/>
          <w:szCs w:val="21"/>
        </w:rPr>
        <w:t>5</w:t>
      </w:r>
      <w:r>
        <w:rPr>
          <w:rFonts w:hint="eastAsia" w:ascii="宋体" w:hAnsi="宋体"/>
          <w:snapToGrid w:val="0"/>
          <w:kern w:val="0"/>
          <w:szCs w:val="21"/>
        </w:rPr>
        <w:t>)</w:t>
      </w:r>
      <w:r>
        <w:rPr>
          <w:rFonts w:ascii="宋体" w:hAnsi="宋体"/>
          <w:snapToGrid w:val="0"/>
          <w:kern w:val="0"/>
          <w:szCs w:val="21"/>
        </w:rPr>
        <w:t xml:space="preserve"> </w:t>
      </w:r>
      <w:r>
        <w:rPr>
          <w:rFonts w:hint="eastAsia" w:ascii="宋体" w:hAnsi="宋体"/>
          <w:snapToGrid w:val="0"/>
          <w:kern w:val="0"/>
          <w:szCs w:val="21"/>
        </w:rPr>
        <w:t>技术部分</w:t>
      </w:r>
    </w:p>
    <w:p w14:paraId="15722F74">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① 技术条款响应表</w:t>
      </w:r>
    </w:p>
    <w:p w14:paraId="5EAE9BC4">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② 技术方案</w:t>
      </w:r>
    </w:p>
    <w:p w14:paraId="0575E5AB">
      <w:pPr>
        <w:tabs>
          <w:tab w:val="left" w:pos="360"/>
        </w:tabs>
        <w:adjustRightInd w:val="0"/>
        <w:snapToGrid w:val="0"/>
        <w:spacing w:line="360" w:lineRule="auto"/>
        <w:ind w:left="672" w:hanging="312"/>
        <w:rPr>
          <w:rFonts w:hint="eastAsia" w:ascii="宋体" w:hAnsi="宋体"/>
          <w:snapToGrid w:val="0"/>
          <w:kern w:val="0"/>
          <w:szCs w:val="21"/>
        </w:rPr>
      </w:pPr>
      <w:r>
        <w:rPr>
          <w:rFonts w:hint="eastAsia" w:ascii="宋体" w:hAnsi="宋体"/>
          <w:snapToGrid w:val="0"/>
          <w:kern w:val="0"/>
          <w:szCs w:val="21"/>
        </w:rPr>
        <w:t>6)</w:t>
      </w:r>
      <w:r>
        <w:rPr>
          <w:rFonts w:ascii="宋体" w:hAnsi="宋体"/>
          <w:snapToGrid w:val="0"/>
          <w:kern w:val="0"/>
          <w:szCs w:val="21"/>
        </w:rPr>
        <w:t xml:space="preserve"> </w:t>
      </w:r>
      <w:r>
        <w:rPr>
          <w:rFonts w:hint="eastAsia" w:ascii="宋体" w:hAnsi="宋体"/>
          <w:snapToGrid w:val="0"/>
          <w:kern w:val="0"/>
          <w:szCs w:val="21"/>
        </w:rPr>
        <w:t>其他部分</w:t>
      </w:r>
    </w:p>
    <w:p w14:paraId="5F867B4D">
      <w:pPr>
        <w:tabs>
          <w:tab w:val="left" w:pos="360"/>
        </w:tabs>
        <w:adjustRightInd w:val="0"/>
        <w:snapToGrid w:val="0"/>
        <w:spacing w:line="360" w:lineRule="auto"/>
        <w:ind w:left="709"/>
        <w:rPr>
          <w:rFonts w:hint="eastAsia" w:ascii="宋体" w:hAnsi="宋体"/>
          <w:snapToGrid w:val="0"/>
          <w:kern w:val="0"/>
          <w:szCs w:val="21"/>
        </w:rPr>
      </w:pPr>
      <w:r>
        <w:rPr>
          <w:rFonts w:hint="eastAsia" w:ascii="宋体" w:hAnsi="宋体"/>
          <w:snapToGrid w:val="0"/>
          <w:kern w:val="0"/>
          <w:szCs w:val="21"/>
        </w:rPr>
        <w:t>① 关于提供增值税专用发票的承诺书格式</w:t>
      </w:r>
    </w:p>
    <w:p w14:paraId="6ABE926A">
      <w:pPr>
        <w:pStyle w:val="13"/>
        <w:spacing w:before="0" w:beforeLines="0" w:after="0" w:afterLines="0"/>
        <w:rPr>
          <w:rFonts w:hint="eastAsia"/>
        </w:rPr>
      </w:pPr>
      <w:r>
        <w:rPr>
          <w:rFonts w:hint="eastAsia"/>
        </w:rPr>
        <w:t>10．投标文件编制</w:t>
      </w:r>
    </w:p>
    <w:p w14:paraId="2AD2105C">
      <w:pPr>
        <w:adjustRightInd w:val="0"/>
        <w:snapToGrid w:val="0"/>
        <w:spacing w:line="360" w:lineRule="auto"/>
        <w:ind w:left="476" w:hanging="476"/>
        <w:rPr>
          <w:rFonts w:hint="eastAsia" w:ascii="宋体" w:hAnsi="宋体"/>
          <w:szCs w:val="21"/>
        </w:rPr>
      </w:pPr>
      <w:r>
        <w:rPr>
          <w:rFonts w:hint="eastAsia" w:ascii="宋体" w:hAnsi="宋体"/>
          <w:szCs w:val="21"/>
        </w:rPr>
        <w:t>10.1投标人应完整、真实、准确的填写招标文件中规定的所有内容。</w:t>
      </w:r>
    </w:p>
    <w:p w14:paraId="127F37C5">
      <w:pPr>
        <w:adjustRightInd w:val="0"/>
        <w:snapToGrid w:val="0"/>
        <w:spacing w:line="360" w:lineRule="auto"/>
        <w:ind w:left="476" w:hanging="476"/>
        <w:rPr>
          <w:rFonts w:hint="eastAsia" w:ascii="宋体" w:hAnsi="宋体"/>
          <w:szCs w:val="21"/>
        </w:rPr>
      </w:pPr>
      <w:r>
        <w:rPr>
          <w:rFonts w:hint="eastAsia" w:ascii="宋体" w:hAnsi="宋体"/>
          <w:szCs w:val="21"/>
        </w:rPr>
        <w:t>10.2投标人必须对投标文件所提供的全部资料的真实性承担法律责任，并无条件接受招标人及招标监督管理部门等对其中任何资料进行核实的要求。投标人必须对投标文件所提供的全部资料的真实性承担法律责任。</w:t>
      </w:r>
    </w:p>
    <w:p w14:paraId="4C5E46EE">
      <w:pPr>
        <w:adjustRightInd w:val="0"/>
        <w:snapToGrid w:val="0"/>
        <w:spacing w:line="360" w:lineRule="auto"/>
        <w:ind w:left="476" w:hanging="476"/>
        <w:rPr>
          <w:rFonts w:hint="eastAsia" w:ascii="宋体" w:hAnsi="宋体"/>
          <w:szCs w:val="21"/>
        </w:rPr>
      </w:pPr>
      <w:r>
        <w:rPr>
          <w:rFonts w:hint="eastAsia" w:ascii="宋体" w:hAnsi="宋体"/>
          <w:szCs w:val="21"/>
        </w:rPr>
        <w:t>10.3如果因为投标人投标文件填报的内容不详，或没有提供招标文件中所要求的全部资料及数据，由此造成的后果，其责任由投标人承担。</w:t>
      </w:r>
    </w:p>
    <w:p w14:paraId="52247C2E">
      <w:pPr>
        <w:pStyle w:val="13"/>
        <w:spacing w:before="0" w:beforeLines="0" w:after="0" w:afterLines="0"/>
        <w:rPr>
          <w:rFonts w:hint="eastAsia"/>
        </w:rPr>
      </w:pPr>
      <w:r>
        <w:rPr>
          <w:rFonts w:hint="eastAsia"/>
        </w:rPr>
        <w:t>11．投标报价</w:t>
      </w:r>
    </w:p>
    <w:p w14:paraId="2886EA0D">
      <w:pPr>
        <w:adjustRightInd w:val="0"/>
        <w:snapToGrid w:val="0"/>
        <w:spacing w:line="360" w:lineRule="auto"/>
        <w:ind w:left="476" w:hanging="476"/>
        <w:rPr>
          <w:rFonts w:hint="eastAsia" w:ascii="宋体" w:hAnsi="宋体"/>
          <w:szCs w:val="21"/>
        </w:rPr>
      </w:pPr>
      <w:r>
        <w:rPr>
          <w:rFonts w:hint="eastAsia" w:ascii="宋体" w:hAnsi="宋体"/>
          <w:szCs w:val="21"/>
        </w:rPr>
        <w:t>11.1投标人所提供的货物和服务均应以人民币报价，若同时以人民币及外币报价的，以人民币报价为准。</w:t>
      </w:r>
    </w:p>
    <w:p w14:paraId="379077D6">
      <w:pPr>
        <w:adjustRightInd w:val="0"/>
        <w:snapToGrid w:val="0"/>
        <w:spacing w:line="360" w:lineRule="auto"/>
        <w:ind w:left="476" w:hanging="476"/>
        <w:rPr>
          <w:rFonts w:hint="eastAsia" w:ascii="宋体" w:hAnsi="宋体"/>
          <w:szCs w:val="21"/>
        </w:rPr>
      </w:pPr>
      <w:r>
        <w:rPr>
          <w:rFonts w:hint="eastAsia" w:ascii="宋体" w:hAnsi="宋体"/>
          <w:szCs w:val="21"/>
        </w:rPr>
        <w:t>11.2投标人应按照“第二部分 用户需求书”规定的内容、责任范围以及合同条款进行报价。并按《投标报价表》和《投标明细报价表》确定的格式报价。</w:t>
      </w:r>
    </w:p>
    <w:p w14:paraId="168C20DE">
      <w:pPr>
        <w:adjustRightInd w:val="0"/>
        <w:snapToGrid w:val="0"/>
        <w:spacing w:line="360" w:lineRule="auto"/>
        <w:ind w:left="476" w:hanging="476"/>
        <w:rPr>
          <w:rFonts w:hint="eastAsia" w:ascii="宋体" w:hAnsi="宋体"/>
          <w:szCs w:val="21"/>
        </w:rPr>
      </w:pPr>
      <w:r>
        <w:rPr>
          <w:rFonts w:hint="eastAsia" w:ascii="宋体" w:hAnsi="宋体"/>
          <w:szCs w:val="21"/>
        </w:rPr>
        <w:t>11.3《投标明细报价表》填写时应响应下列要求：</w:t>
      </w:r>
    </w:p>
    <w:p w14:paraId="602B2B20">
      <w:pPr>
        <w:pStyle w:val="13"/>
        <w:spacing w:before="0" w:beforeLines="0" w:after="0" w:afterLines="0"/>
        <w:ind w:left="424" w:leftChars="202"/>
        <w:outlineLvl w:val="9"/>
        <w:rPr>
          <w:rFonts w:hint="eastAsia"/>
          <w:b w:val="0"/>
          <w:bCs/>
          <w:snapToGrid w:val="0"/>
        </w:rPr>
      </w:pPr>
      <w:r>
        <w:rPr>
          <w:rFonts w:hint="eastAsia"/>
          <w:b w:val="0"/>
          <w:bCs/>
          <w:snapToGrid w:val="0"/>
        </w:rPr>
        <w:t>1) 对于报价免费的项目必须标明“免费”；</w:t>
      </w:r>
    </w:p>
    <w:p w14:paraId="6D2DE05C">
      <w:pPr>
        <w:pStyle w:val="13"/>
        <w:spacing w:before="0" w:beforeLines="0" w:after="0" w:afterLines="0"/>
        <w:ind w:left="424" w:leftChars="202"/>
        <w:outlineLvl w:val="9"/>
        <w:rPr>
          <w:rFonts w:hint="eastAsia"/>
          <w:b w:val="0"/>
          <w:bCs/>
          <w:snapToGrid w:val="0"/>
        </w:rPr>
      </w:pPr>
      <w:r>
        <w:rPr>
          <w:rFonts w:hint="eastAsia"/>
          <w:b w:val="0"/>
          <w:bCs/>
          <w:snapToGrid w:val="0"/>
        </w:rPr>
        <w:t>2) 所有根据合同或其它原因应由投标人支付的税款和其它应交纳的费用都要包括在投标人提交的投标价格中；</w:t>
      </w:r>
    </w:p>
    <w:p w14:paraId="0B909826">
      <w:pPr>
        <w:pStyle w:val="13"/>
        <w:spacing w:before="0" w:beforeLines="0" w:after="0" w:afterLines="0"/>
        <w:ind w:left="424" w:leftChars="202"/>
        <w:outlineLvl w:val="9"/>
        <w:rPr>
          <w:rFonts w:hint="eastAsia"/>
          <w:b w:val="0"/>
          <w:bCs/>
          <w:snapToGrid w:val="0"/>
        </w:rPr>
      </w:pPr>
      <w:r>
        <w:rPr>
          <w:rFonts w:hint="eastAsia"/>
          <w:b w:val="0"/>
          <w:bCs/>
          <w:snapToGrid w:val="0"/>
        </w:rPr>
        <w:t>3) 应包含所有家具运至最终目的地的运输、保险和伴随货物服务的其他所有费用，并承担在途货物运输的风险。</w:t>
      </w:r>
    </w:p>
    <w:p w14:paraId="27349387">
      <w:pPr>
        <w:adjustRightInd w:val="0"/>
        <w:snapToGrid w:val="0"/>
        <w:spacing w:line="360" w:lineRule="auto"/>
        <w:ind w:left="476" w:hanging="476"/>
        <w:rPr>
          <w:rFonts w:hint="eastAsia" w:ascii="宋体" w:hAnsi="宋体"/>
          <w:szCs w:val="21"/>
        </w:rPr>
      </w:pPr>
      <w:r>
        <w:rPr>
          <w:rFonts w:hint="eastAsia" w:ascii="宋体" w:hAnsi="宋体"/>
          <w:szCs w:val="21"/>
        </w:rPr>
        <w:t>11.4每一种规格的家具只允许有一个报价，否则将被视为无效投标。</w:t>
      </w:r>
    </w:p>
    <w:p w14:paraId="0D7EA17F">
      <w:pPr>
        <w:pStyle w:val="13"/>
        <w:spacing w:before="0" w:beforeLines="0" w:after="0" w:afterLines="0"/>
        <w:rPr>
          <w:rFonts w:hint="eastAsia"/>
        </w:rPr>
      </w:pPr>
      <w:r>
        <w:rPr>
          <w:rFonts w:hint="eastAsia"/>
        </w:rPr>
        <w:t>12．备选方案</w:t>
      </w:r>
    </w:p>
    <w:p w14:paraId="24B65A23">
      <w:pPr>
        <w:adjustRightInd w:val="0"/>
        <w:snapToGrid w:val="0"/>
        <w:spacing w:line="360" w:lineRule="auto"/>
        <w:ind w:left="476" w:hanging="476"/>
        <w:rPr>
          <w:rFonts w:hint="eastAsia" w:ascii="宋体" w:hAnsi="宋体"/>
          <w:szCs w:val="21"/>
        </w:rPr>
      </w:pPr>
      <w:r>
        <w:rPr>
          <w:rFonts w:hint="eastAsia" w:ascii="宋体" w:hAnsi="宋体"/>
          <w:szCs w:val="21"/>
        </w:rPr>
        <w:t>12.1备选方案应符合</w:t>
      </w:r>
      <w:r>
        <w:rPr>
          <w:rFonts w:hint="eastAsia" w:ascii="宋体" w:hAnsi="宋体"/>
          <w:b/>
          <w:bCs/>
          <w:szCs w:val="21"/>
        </w:rPr>
        <w:t>《投标人须知前附表》</w:t>
      </w:r>
      <w:r>
        <w:rPr>
          <w:rFonts w:hint="eastAsia" w:ascii="宋体" w:hAnsi="宋体"/>
          <w:szCs w:val="21"/>
        </w:rPr>
        <w:t>要求。如只允许投标人有一个投标方案，否则将被视为无效投标。</w:t>
      </w:r>
    </w:p>
    <w:p w14:paraId="1491B54C">
      <w:pPr>
        <w:pStyle w:val="13"/>
        <w:spacing w:before="0" w:beforeLines="0" w:after="0" w:afterLines="0"/>
        <w:rPr>
          <w:rFonts w:hint="eastAsia"/>
        </w:rPr>
      </w:pPr>
      <w:r>
        <w:rPr>
          <w:rFonts w:hint="eastAsia"/>
        </w:rPr>
        <w:t>13．联合体投标</w:t>
      </w:r>
    </w:p>
    <w:p w14:paraId="22499E14">
      <w:pPr>
        <w:adjustRightInd w:val="0"/>
        <w:snapToGrid w:val="0"/>
        <w:spacing w:line="360" w:lineRule="auto"/>
        <w:ind w:left="476" w:hanging="476"/>
        <w:rPr>
          <w:rFonts w:hint="eastAsia" w:ascii="宋体" w:hAnsi="宋体"/>
          <w:szCs w:val="21"/>
        </w:rPr>
      </w:pPr>
      <w:r>
        <w:rPr>
          <w:rFonts w:hint="eastAsia" w:ascii="宋体" w:hAnsi="宋体"/>
          <w:szCs w:val="21"/>
        </w:rPr>
        <w:t>13.1本次招标不接受联合体投标。</w:t>
      </w:r>
    </w:p>
    <w:p w14:paraId="43525558">
      <w:pPr>
        <w:pStyle w:val="13"/>
        <w:spacing w:before="0" w:beforeLines="0" w:after="0" w:afterLines="0"/>
        <w:rPr>
          <w:rFonts w:hint="eastAsia"/>
        </w:rPr>
      </w:pPr>
      <w:r>
        <w:rPr>
          <w:rFonts w:hint="eastAsia"/>
        </w:rPr>
        <w:t>14．投标人资格证明文件</w:t>
      </w:r>
    </w:p>
    <w:p w14:paraId="061EAD9D">
      <w:pPr>
        <w:adjustRightInd w:val="0"/>
        <w:snapToGrid w:val="0"/>
        <w:spacing w:line="360" w:lineRule="auto"/>
        <w:ind w:left="476" w:hanging="476"/>
        <w:rPr>
          <w:rFonts w:hint="eastAsia" w:ascii="宋体" w:hAnsi="宋体"/>
          <w:szCs w:val="21"/>
        </w:rPr>
      </w:pPr>
      <w:r>
        <w:rPr>
          <w:rFonts w:hint="eastAsia" w:ascii="宋体" w:hAnsi="宋体"/>
          <w:szCs w:val="21"/>
        </w:rPr>
        <w:t>14.1投标人应按招标文件的要求，提交证明其有资格参加投标和中标后有履行合同能力的文件，并作为其投标文件的组成部分，包括但不限于下列文件：</w:t>
      </w:r>
    </w:p>
    <w:p w14:paraId="2E06FB24">
      <w:pPr>
        <w:pStyle w:val="13"/>
        <w:spacing w:before="0" w:beforeLines="0" w:after="0" w:afterLines="0"/>
        <w:ind w:left="424" w:leftChars="202"/>
        <w:outlineLvl w:val="9"/>
        <w:rPr>
          <w:rFonts w:hint="eastAsia"/>
          <w:b w:val="0"/>
          <w:bCs/>
          <w:snapToGrid w:val="0"/>
        </w:rPr>
      </w:pPr>
      <w:r>
        <w:rPr>
          <w:rFonts w:hint="eastAsia"/>
          <w:b w:val="0"/>
          <w:bCs/>
          <w:snapToGrid w:val="0"/>
        </w:rPr>
        <w:t>1) 投标函；</w:t>
      </w:r>
    </w:p>
    <w:p w14:paraId="45B9D533">
      <w:pPr>
        <w:pStyle w:val="13"/>
        <w:spacing w:before="0" w:beforeLines="0" w:after="0" w:afterLines="0"/>
        <w:ind w:left="424" w:leftChars="202"/>
        <w:outlineLvl w:val="9"/>
        <w:rPr>
          <w:rFonts w:hint="eastAsia"/>
          <w:b w:val="0"/>
          <w:bCs/>
          <w:snapToGrid w:val="0"/>
        </w:rPr>
      </w:pPr>
      <w:r>
        <w:rPr>
          <w:rFonts w:hint="eastAsia"/>
          <w:b w:val="0"/>
          <w:bCs/>
          <w:snapToGrid w:val="0"/>
        </w:rPr>
        <w:t>2) 法定代表人证明书及授权委托书；</w:t>
      </w:r>
    </w:p>
    <w:p w14:paraId="7416E587">
      <w:pPr>
        <w:pStyle w:val="13"/>
        <w:spacing w:before="0" w:beforeLines="0" w:after="0" w:afterLines="0"/>
        <w:ind w:left="424" w:leftChars="202"/>
        <w:outlineLvl w:val="9"/>
        <w:rPr>
          <w:rFonts w:hint="eastAsia"/>
          <w:b w:val="0"/>
          <w:bCs/>
          <w:snapToGrid w:val="0"/>
        </w:rPr>
      </w:pPr>
      <w:r>
        <w:rPr>
          <w:rFonts w:hint="eastAsia"/>
          <w:b w:val="0"/>
          <w:bCs/>
          <w:snapToGrid w:val="0"/>
        </w:rPr>
        <w:t>3) 投标保证金交纳凭证；</w:t>
      </w:r>
    </w:p>
    <w:p w14:paraId="7C7EA6CB">
      <w:pPr>
        <w:pStyle w:val="13"/>
        <w:spacing w:before="0" w:beforeLines="0" w:after="0" w:afterLines="0"/>
        <w:ind w:left="424" w:leftChars="202"/>
        <w:outlineLvl w:val="9"/>
        <w:rPr>
          <w:rFonts w:hint="eastAsia"/>
          <w:b w:val="0"/>
          <w:bCs/>
          <w:snapToGrid w:val="0"/>
        </w:rPr>
      </w:pPr>
      <w:r>
        <w:rPr>
          <w:rFonts w:hint="eastAsia"/>
          <w:b w:val="0"/>
          <w:bCs/>
          <w:snapToGrid w:val="0"/>
        </w:rPr>
        <w:t>4) 法人营业执照扫描件；</w:t>
      </w:r>
    </w:p>
    <w:p w14:paraId="200F18AF">
      <w:pPr>
        <w:pStyle w:val="13"/>
        <w:spacing w:before="0" w:beforeLines="0" w:after="0" w:afterLines="0"/>
        <w:ind w:left="424" w:leftChars="202"/>
        <w:outlineLvl w:val="9"/>
        <w:rPr>
          <w:rFonts w:hint="eastAsia"/>
          <w:b w:val="0"/>
          <w:bCs/>
          <w:snapToGrid w:val="0"/>
        </w:rPr>
      </w:pPr>
      <w:r>
        <w:rPr>
          <w:rFonts w:hint="eastAsia"/>
          <w:b w:val="0"/>
          <w:bCs/>
          <w:snapToGrid w:val="0"/>
        </w:rPr>
        <w:t>5) 投标报价表；</w:t>
      </w:r>
    </w:p>
    <w:p w14:paraId="10F332C1">
      <w:pPr>
        <w:pStyle w:val="13"/>
        <w:spacing w:before="0" w:beforeLines="0" w:after="0" w:afterLines="0"/>
        <w:ind w:left="424" w:leftChars="202"/>
        <w:outlineLvl w:val="9"/>
        <w:rPr>
          <w:rFonts w:hint="eastAsia"/>
          <w:b w:val="0"/>
          <w:bCs/>
          <w:snapToGrid w:val="0"/>
        </w:rPr>
      </w:pPr>
      <w:r>
        <w:rPr>
          <w:rFonts w:hint="eastAsia"/>
          <w:b w:val="0"/>
          <w:bCs/>
          <w:snapToGrid w:val="0"/>
        </w:rPr>
        <w:t>6）其它见</w:t>
      </w:r>
      <w:r>
        <w:rPr>
          <w:rFonts w:hint="eastAsia"/>
          <w:snapToGrid w:val="0"/>
        </w:rPr>
        <w:t>《投标人须知前附表》</w:t>
      </w:r>
      <w:r>
        <w:rPr>
          <w:rFonts w:hint="eastAsia"/>
          <w:b w:val="0"/>
          <w:bCs/>
          <w:snapToGrid w:val="0"/>
        </w:rPr>
        <w:t>。</w:t>
      </w:r>
    </w:p>
    <w:p w14:paraId="28FE8E29">
      <w:pPr>
        <w:adjustRightInd w:val="0"/>
        <w:snapToGrid w:val="0"/>
        <w:spacing w:line="360" w:lineRule="auto"/>
        <w:ind w:left="476" w:hanging="476"/>
        <w:rPr>
          <w:rFonts w:hint="eastAsia" w:ascii="宋体" w:hAnsi="宋体"/>
          <w:szCs w:val="21"/>
        </w:rPr>
      </w:pPr>
      <w:r>
        <w:rPr>
          <w:rFonts w:hint="eastAsia" w:ascii="宋体" w:hAnsi="宋体"/>
          <w:szCs w:val="21"/>
        </w:rPr>
        <w:t>14.2资格证明文件必须真实有效，扫描件必须按招标文件要求盖章。</w:t>
      </w:r>
    </w:p>
    <w:p w14:paraId="0471B345">
      <w:pPr>
        <w:pStyle w:val="13"/>
        <w:spacing w:before="0" w:beforeLines="0" w:after="0" w:afterLines="0"/>
        <w:rPr>
          <w:rFonts w:hint="eastAsia"/>
        </w:rPr>
      </w:pPr>
      <w:r>
        <w:rPr>
          <w:rFonts w:hint="eastAsia"/>
        </w:rPr>
        <w:t>15．证明投标标的的合格性和符合招标文件规定的文件：</w:t>
      </w:r>
    </w:p>
    <w:p w14:paraId="4387662E">
      <w:pPr>
        <w:adjustRightInd w:val="0"/>
        <w:snapToGrid w:val="0"/>
        <w:spacing w:line="360" w:lineRule="auto"/>
        <w:ind w:left="476" w:hanging="476"/>
        <w:rPr>
          <w:rFonts w:hint="eastAsia" w:ascii="宋体" w:hAnsi="宋体"/>
          <w:szCs w:val="21"/>
        </w:rPr>
      </w:pPr>
      <w:r>
        <w:rPr>
          <w:rFonts w:hint="eastAsia" w:ascii="宋体" w:hAnsi="宋体"/>
          <w:szCs w:val="21"/>
        </w:rPr>
        <w:t>15.1 在参加本次招标活动前三年内（具体起止时间见</w:t>
      </w:r>
      <w:r>
        <w:rPr>
          <w:rFonts w:hint="eastAsia" w:ascii="宋体" w:hAnsi="宋体"/>
          <w:b/>
          <w:bCs/>
          <w:szCs w:val="21"/>
        </w:rPr>
        <w:t>《投标人须知前附表》</w:t>
      </w:r>
      <w:r>
        <w:rPr>
          <w:rFonts w:hint="eastAsia" w:ascii="宋体" w:hAnsi="宋体"/>
          <w:szCs w:val="21"/>
        </w:rPr>
        <w:t>）在经营活动中没有重大违法记录的证明；</w:t>
      </w:r>
    </w:p>
    <w:p w14:paraId="5EB142BD">
      <w:pPr>
        <w:adjustRightInd w:val="0"/>
        <w:snapToGrid w:val="0"/>
        <w:spacing w:line="360" w:lineRule="auto"/>
        <w:ind w:left="476" w:hanging="476"/>
        <w:rPr>
          <w:rFonts w:hint="eastAsia" w:ascii="宋体" w:hAnsi="宋体"/>
          <w:szCs w:val="21"/>
        </w:rPr>
      </w:pPr>
      <w:r>
        <w:rPr>
          <w:rFonts w:hint="eastAsia" w:ascii="宋体" w:hAnsi="宋体"/>
          <w:szCs w:val="21"/>
        </w:rPr>
        <w:t>15.2 在核定的经营范围内报价。</w:t>
      </w:r>
    </w:p>
    <w:p w14:paraId="15CA0DFD">
      <w:pPr>
        <w:pStyle w:val="13"/>
        <w:spacing w:before="0" w:beforeLines="0" w:after="0" w:afterLines="0"/>
        <w:rPr>
          <w:rFonts w:hint="eastAsia"/>
        </w:rPr>
      </w:pPr>
      <w:r>
        <w:rPr>
          <w:rFonts w:hint="eastAsia"/>
        </w:rPr>
        <w:t>16．投标保证金</w:t>
      </w:r>
    </w:p>
    <w:p w14:paraId="4F235661">
      <w:pPr>
        <w:adjustRightInd w:val="0"/>
        <w:snapToGrid w:val="0"/>
        <w:spacing w:line="360" w:lineRule="auto"/>
        <w:ind w:left="476" w:hanging="476"/>
        <w:rPr>
          <w:rFonts w:hint="eastAsia" w:ascii="宋体" w:hAnsi="宋体"/>
          <w:szCs w:val="21"/>
        </w:rPr>
      </w:pPr>
      <w:r>
        <w:rPr>
          <w:rFonts w:hint="eastAsia" w:ascii="宋体" w:hAnsi="宋体"/>
          <w:szCs w:val="21"/>
        </w:rPr>
        <w:t>16.1投标人应按招标文件规定的金额和期限交纳投标保证金，投标保证金作为投标文件的组成部分。投标人与交款人名称必须一致，非投标人缴纳的报价保证金无效。</w:t>
      </w:r>
    </w:p>
    <w:p w14:paraId="56138D84">
      <w:pPr>
        <w:adjustRightInd w:val="0"/>
        <w:snapToGrid w:val="0"/>
        <w:spacing w:line="360" w:lineRule="auto"/>
        <w:ind w:left="476" w:hanging="476"/>
        <w:rPr>
          <w:rFonts w:hint="eastAsia" w:ascii="宋体" w:hAnsi="宋体"/>
          <w:szCs w:val="21"/>
        </w:rPr>
      </w:pPr>
      <w:r>
        <w:rPr>
          <w:rFonts w:hint="eastAsia" w:ascii="宋体" w:hAnsi="宋体"/>
          <w:szCs w:val="21"/>
        </w:rPr>
        <w:t>16.2投标保证金缴纳形式：转账或保函形式；缴纳时间：转账形式提交的应在投标截止时间前到达招标人账户。</w:t>
      </w:r>
    </w:p>
    <w:p w14:paraId="34E356C5">
      <w:pPr>
        <w:adjustRightInd w:val="0"/>
        <w:snapToGrid w:val="0"/>
        <w:spacing w:line="360" w:lineRule="auto"/>
        <w:ind w:left="476" w:hanging="476"/>
        <w:rPr>
          <w:rFonts w:hint="eastAsia" w:ascii="宋体" w:hAnsi="宋体"/>
          <w:szCs w:val="21"/>
        </w:rPr>
      </w:pPr>
      <w:r>
        <w:rPr>
          <w:rFonts w:hint="eastAsia" w:ascii="宋体" w:hAnsi="宋体"/>
          <w:szCs w:val="21"/>
        </w:rPr>
        <w:t>16.3投标人应向招标人提交投标保证金，金额见</w:t>
      </w:r>
      <w:r>
        <w:rPr>
          <w:rFonts w:hint="eastAsia" w:ascii="宋体" w:hAnsi="宋体"/>
          <w:b/>
          <w:bCs/>
          <w:szCs w:val="21"/>
        </w:rPr>
        <w:t>《投标人须知前附表》</w:t>
      </w:r>
      <w:r>
        <w:rPr>
          <w:rFonts w:hint="eastAsia" w:ascii="宋体" w:hAnsi="宋体"/>
          <w:szCs w:val="21"/>
        </w:rPr>
        <w:t>。</w:t>
      </w:r>
      <w:r>
        <w:rPr>
          <w:rFonts w:ascii="宋体" w:hAnsi="宋体"/>
          <w:szCs w:val="21"/>
        </w:rPr>
        <w:t xml:space="preserve"> </w:t>
      </w:r>
    </w:p>
    <w:p w14:paraId="341F4882">
      <w:pPr>
        <w:adjustRightInd w:val="0"/>
        <w:snapToGrid w:val="0"/>
        <w:spacing w:line="360" w:lineRule="auto"/>
        <w:ind w:left="476" w:hanging="476"/>
        <w:rPr>
          <w:rFonts w:hint="eastAsia" w:ascii="宋体" w:hAnsi="宋体"/>
          <w:szCs w:val="21"/>
        </w:rPr>
      </w:pPr>
      <w:r>
        <w:rPr>
          <w:rFonts w:hint="eastAsia" w:ascii="宋体" w:hAnsi="宋体"/>
          <w:szCs w:val="21"/>
        </w:rPr>
        <w:t>16.4投标保证金应为人民币，可以选择下列方式中任何一种，在投标时将保证金递交凭证扫描提交：</w:t>
      </w:r>
    </w:p>
    <w:p w14:paraId="3FE32A4E">
      <w:pPr>
        <w:pStyle w:val="13"/>
        <w:spacing w:before="0" w:beforeLines="0" w:after="0" w:afterLines="0"/>
        <w:ind w:left="424" w:leftChars="202"/>
        <w:outlineLvl w:val="9"/>
        <w:rPr>
          <w:rFonts w:hint="eastAsia"/>
          <w:b w:val="0"/>
          <w:bCs/>
          <w:snapToGrid w:val="0"/>
        </w:rPr>
      </w:pPr>
      <w:r>
        <w:rPr>
          <w:rFonts w:hint="eastAsia"/>
          <w:b w:val="0"/>
          <w:bCs/>
          <w:snapToGrid w:val="0"/>
        </w:rPr>
        <w:t>1)</w:t>
      </w:r>
      <w:r>
        <w:rPr>
          <w:b w:val="0"/>
          <w:bCs/>
          <w:snapToGrid w:val="0"/>
        </w:rPr>
        <w:t xml:space="preserve"> </w:t>
      </w:r>
      <w:r>
        <w:rPr>
          <w:rFonts w:hint="eastAsia"/>
          <w:b w:val="0"/>
          <w:bCs/>
          <w:snapToGrid w:val="0"/>
        </w:rPr>
        <w:t>从投标人账户将投标保证金转入或汇入以下账户：</w:t>
      </w:r>
    </w:p>
    <w:p w14:paraId="55BFC91B">
      <w:pPr>
        <w:snapToGrid w:val="0"/>
        <w:spacing w:line="360" w:lineRule="auto"/>
        <w:ind w:left="900" w:leftChars="428" w:hanging="1"/>
        <w:rPr>
          <w:rFonts w:hint="eastAsia" w:ascii="宋体" w:hAnsi="宋体"/>
          <w:szCs w:val="21"/>
        </w:rPr>
      </w:pPr>
      <w:r>
        <w:rPr>
          <w:rFonts w:hint="eastAsia" w:ascii="宋体" w:hAnsi="宋体"/>
          <w:szCs w:val="21"/>
        </w:rPr>
        <w:t>收款人：广州广重企业集团有限公司</w:t>
      </w:r>
    </w:p>
    <w:p w14:paraId="30C2CB9E">
      <w:pPr>
        <w:snapToGrid w:val="0"/>
        <w:spacing w:line="360" w:lineRule="auto"/>
        <w:ind w:left="900" w:leftChars="428" w:hanging="1"/>
        <w:rPr>
          <w:rFonts w:hint="eastAsia" w:ascii="宋体" w:hAnsi="宋体"/>
          <w:szCs w:val="21"/>
        </w:rPr>
      </w:pPr>
      <w:r>
        <w:rPr>
          <w:rFonts w:hint="eastAsia" w:ascii="宋体" w:hAnsi="宋体"/>
          <w:szCs w:val="21"/>
        </w:rPr>
        <w:t>开户行：中国工商银行同福中路支行</w:t>
      </w:r>
    </w:p>
    <w:p w14:paraId="4930D52A">
      <w:pPr>
        <w:snapToGrid w:val="0"/>
        <w:spacing w:line="360" w:lineRule="auto"/>
        <w:ind w:left="900" w:leftChars="428" w:hanging="1"/>
        <w:rPr>
          <w:rFonts w:hint="eastAsia" w:ascii="宋体" w:hAnsi="宋体"/>
          <w:szCs w:val="21"/>
        </w:rPr>
      </w:pPr>
      <w:r>
        <w:rPr>
          <w:rFonts w:hint="eastAsia" w:ascii="宋体" w:hAnsi="宋体"/>
          <w:szCs w:val="21"/>
        </w:rPr>
        <w:t>账号：3602001109005828843</w:t>
      </w:r>
    </w:p>
    <w:p w14:paraId="467700BC">
      <w:pPr>
        <w:pStyle w:val="13"/>
        <w:spacing w:before="0" w:beforeLines="0" w:after="0" w:afterLines="0"/>
        <w:ind w:left="424" w:leftChars="202"/>
        <w:outlineLvl w:val="9"/>
        <w:rPr>
          <w:rFonts w:hint="eastAsia"/>
          <w:b w:val="0"/>
          <w:bCs/>
          <w:snapToGrid w:val="0"/>
        </w:rPr>
      </w:pPr>
      <w:r>
        <w:rPr>
          <w:rFonts w:hint="eastAsia"/>
          <w:b w:val="0"/>
          <w:bCs/>
          <w:snapToGrid w:val="0"/>
        </w:rPr>
        <w:t>2)</w:t>
      </w:r>
      <w:r>
        <w:rPr>
          <w:b w:val="0"/>
          <w:bCs/>
          <w:snapToGrid w:val="0"/>
        </w:rPr>
        <w:t xml:space="preserve"> </w:t>
      </w:r>
      <w:r>
        <w:rPr>
          <w:rFonts w:hint="eastAsia"/>
          <w:b w:val="0"/>
          <w:bCs/>
          <w:snapToGrid w:val="0"/>
        </w:rPr>
        <w:t>用保函形式提交的：</w:t>
      </w:r>
    </w:p>
    <w:p w14:paraId="2B716281">
      <w:pPr>
        <w:snapToGrid w:val="0"/>
        <w:spacing w:line="360" w:lineRule="auto"/>
        <w:ind w:left="900" w:leftChars="428" w:hanging="1"/>
        <w:rPr>
          <w:rFonts w:hint="eastAsia" w:ascii="宋体" w:hAnsi="宋体"/>
          <w:szCs w:val="21"/>
        </w:rPr>
      </w:pPr>
      <w:r>
        <w:rPr>
          <w:rFonts w:hint="eastAsia" w:ascii="宋体" w:hAnsi="宋体"/>
          <w:szCs w:val="21"/>
        </w:rPr>
        <w:t>a.</w:t>
      </w:r>
      <w:r>
        <w:rPr>
          <w:rFonts w:hint="eastAsia"/>
        </w:rPr>
        <w:t xml:space="preserve"> </w:t>
      </w:r>
      <w:r>
        <w:rPr>
          <w:rFonts w:hint="eastAsia" w:ascii="宋体" w:hAnsi="宋体"/>
          <w:szCs w:val="21"/>
        </w:rPr>
        <w:t>采用招标文件提供的格式或招标人接受的其他格式；</w:t>
      </w:r>
    </w:p>
    <w:p w14:paraId="03B6BC80">
      <w:pPr>
        <w:snapToGrid w:val="0"/>
        <w:spacing w:line="360" w:lineRule="auto"/>
        <w:ind w:left="900" w:leftChars="428" w:hanging="1"/>
        <w:rPr>
          <w:rFonts w:hint="eastAsia" w:ascii="宋体" w:hAnsi="宋体"/>
          <w:szCs w:val="21"/>
        </w:rPr>
      </w:pPr>
      <w:r>
        <w:rPr>
          <w:rFonts w:hint="eastAsia" w:ascii="宋体" w:hAnsi="宋体"/>
          <w:szCs w:val="21"/>
        </w:rPr>
        <w:t>b.</w:t>
      </w:r>
      <w:r>
        <w:rPr>
          <w:rFonts w:ascii="Times New Roman" w:hAnsi="Times New Roman"/>
          <w:kern w:val="0"/>
          <w:szCs w:val="20"/>
        </w:rPr>
        <w:t xml:space="preserve"> </w:t>
      </w:r>
      <w:r>
        <w:rPr>
          <w:rFonts w:hint="eastAsia" w:ascii="Times New Roman" w:hAnsi="Times New Roman"/>
          <w:kern w:val="0"/>
          <w:szCs w:val="20"/>
        </w:rPr>
        <w:t>银行保函须</w:t>
      </w:r>
      <w:r>
        <w:rPr>
          <w:rFonts w:ascii="宋体" w:hAnsi="宋体"/>
          <w:szCs w:val="21"/>
        </w:rPr>
        <w:t>由中华人民共和国境内的银行出具；</w:t>
      </w:r>
    </w:p>
    <w:p w14:paraId="0958A114">
      <w:pPr>
        <w:snapToGrid w:val="0"/>
        <w:spacing w:line="360" w:lineRule="auto"/>
        <w:ind w:left="900" w:leftChars="428" w:hanging="1"/>
        <w:rPr>
          <w:rFonts w:hint="eastAsia" w:ascii="宋体" w:hAnsi="宋体"/>
          <w:szCs w:val="21"/>
        </w:rPr>
      </w:pPr>
      <w:r>
        <w:rPr>
          <w:rFonts w:hint="eastAsia" w:ascii="宋体" w:hAnsi="宋体"/>
          <w:szCs w:val="21"/>
        </w:rPr>
        <w:t>c.</w:t>
      </w:r>
      <w:r>
        <w:rPr>
          <w:rFonts w:ascii="Times New Roman" w:hAnsi="Times New Roman"/>
          <w:kern w:val="0"/>
          <w:szCs w:val="20"/>
        </w:rPr>
        <w:t xml:space="preserve"> </w:t>
      </w:r>
      <w:r>
        <w:rPr>
          <w:rFonts w:ascii="宋体" w:hAnsi="宋体"/>
          <w:szCs w:val="21"/>
        </w:rPr>
        <w:t>有效期</w:t>
      </w:r>
      <w:r>
        <w:rPr>
          <w:rFonts w:hint="eastAsia" w:ascii="宋体" w:hAnsi="宋体"/>
          <w:szCs w:val="21"/>
        </w:rPr>
        <w:t>不得少于</w:t>
      </w:r>
      <w:r>
        <w:rPr>
          <w:rFonts w:ascii="宋体" w:hAnsi="宋体"/>
          <w:szCs w:val="21"/>
        </w:rPr>
        <w:t>投标有效期。</w:t>
      </w:r>
    </w:p>
    <w:p w14:paraId="736D18F3">
      <w:pPr>
        <w:adjustRightInd w:val="0"/>
        <w:snapToGrid w:val="0"/>
        <w:spacing w:line="360" w:lineRule="auto"/>
        <w:ind w:left="476" w:hanging="476"/>
        <w:rPr>
          <w:rFonts w:hint="eastAsia" w:ascii="宋体" w:hAnsi="宋体"/>
          <w:szCs w:val="21"/>
        </w:rPr>
      </w:pPr>
      <w:r>
        <w:rPr>
          <w:rFonts w:hint="eastAsia" w:ascii="宋体" w:hAnsi="宋体"/>
          <w:szCs w:val="21"/>
        </w:rPr>
        <w:t>16.5凡未按规定交纳投标保证金的投标，为无效投标。</w:t>
      </w:r>
    </w:p>
    <w:p w14:paraId="768C3EE4">
      <w:pPr>
        <w:adjustRightInd w:val="0"/>
        <w:snapToGrid w:val="0"/>
        <w:spacing w:line="360" w:lineRule="auto"/>
        <w:ind w:left="476" w:hanging="476"/>
        <w:rPr>
          <w:rFonts w:hint="eastAsia" w:ascii="宋体" w:hAnsi="宋体"/>
          <w:szCs w:val="21"/>
        </w:rPr>
      </w:pPr>
      <w:r>
        <w:rPr>
          <w:rFonts w:hint="eastAsia" w:ascii="宋体" w:hAnsi="宋体"/>
          <w:szCs w:val="21"/>
        </w:rPr>
        <w:t>16.6投标保证金退还</w:t>
      </w:r>
    </w:p>
    <w:p w14:paraId="6490CDDE">
      <w:pPr>
        <w:pStyle w:val="13"/>
        <w:spacing w:before="0" w:beforeLines="0" w:after="0" w:afterLines="0"/>
        <w:ind w:left="424" w:leftChars="202"/>
        <w:outlineLvl w:val="9"/>
        <w:rPr>
          <w:rFonts w:hint="eastAsia"/>
          <w:b w:val="0"/>
          <w:kern w:val="2"/>
        </w:rPr>
      </w:pPr>
      <w:r>
        <w:rPr>
          <w:rFonts w:hint="eastAsia"/>
          <w:b w:val="0"/>
          <w:kern w:val="2"/>
        </w:rPr>
        <w:t>招标人将在合同签订后的20个工作日内将投标保证金以转账形式无息退还投标人。</w:t>
      </w:r>
    </w:p>
    <w:p w14:paraId="18C81AB3">
      <w:pPr>
        <w:adjustRightInd w:val="0"/>
        <w:snapToGrid w:val="0"/>
        <w:spacing w:line="360" w:lineRule="auto"/>
        <w:ind w:left="476" w:hanging="476"/>
        <w:rPr>
          <w:rFonts w:hint="eastAsia" w:ascii="宋体" w:hAnsi="宋体"/>
          <w:szCs w:val="21"/>
        </w:rPr>
      </w:pPr>
      <w:r>
        <w:rPr>
          <w:rFonts w:hint="eastAsia" w:ascii="宋体" w:hAnsi="宋体"/>
          <w:szCs w:val="21"/>
        </w:rPr>
        <w:t>16.7有下列情形之一的，投标保证金将被</w:t>
      </w:r>
      <w:r>
        <w:rPr>
          <w:rFonts w:hint="eastAsia"/>
        </w:rPr>
        <w:t>不予退还</w:t>
      </w:r>
      <w:r>
        <w:rPr>
          <w:rFonts w:hint="eastAsia" w:ascii="宋体" w:hAnsi="宋体"/>
          <w:szCs w:val="21"/>
        </w:rPr>
        <w:t>：</w:t>
      </w:r>
    </w:p>
    <w:p w14:paraId="22179015">
      <w:pPr>
        <w:pStyle w:val="13"/>
        <w:spacing w:before="0" w:beforeLines="0" w:after="0" w:afterLines="0"/>
        <w:ind w:left="424" w:leftChars="202"/>
        <w:outlineLvl w:val="9"/>
        <w:rPr>
          <w:rFonts w:hint="eastAsia"/>
          <w:b w:val="0"/>
          <w:bCs/>
          <w:snapToGrid w:val="0"/>
        </w:rPr>
      </w:pPr>
      <w:r>
        <w:rPr>
          <w:rFonts w:hint="eastAsia"/>
          <w:b w:val="0"/>
          <w:bCs/>
          <w:snapToGrid w:val="0"/>
        </w:rPr>
        <w:t>1）中标后无正当理由放弃中标或不与招标人签订合同的；</w:t>
      </w:r>
    </w:p>
    <w:p w14:paraId="468BE0B0">
      <w:pPr>
        <w:pStyle w:val="13"/>
        <w:spacing w:before="0" w:beforeLines="0" w:after="0" w:afterLines="0"/>
        <w:ind w:left="424" w:leftChars="202"/>
        <w:outlineLvl w:val="9"/>
        <w:rPr>
          <w:rFonts w:hint="eastAsia"/>
          <w:b w:val="0"/>
          <w:bCs/>
          <w:snapToGrid w:val="0"/>
        </w:rPr>
      </w:pPr>
      <w:r>
        <w:rPr>
          <w:rFonts w:hint="eastAsia"/>
          <w:b w:val="0"/>
          <w:bCs/>
          <w:snapToGrid w:val="0"/>
        </w:rPr>
        <w:t>2）在签订合同时向招标人提出附加条件；</w:t>
      </w:r>
    </w:p>
    <w:p w14:paraId="05D646B6">
      <w:pPr>
        <w:pStyle w:val="13"/>
        <w:spacing w:before="0" w:beforeLines="0" w:after="0" w:afterLines="0"/>
        <w:ind w:left="424" w:leftChars="202"/>
        <w:outlineLvl w:val="9"/>
        <w:rPr>
          <w:rFonts w:hint="eastAsia"/>
          <w:b w:val="0"/>
          <w:bCs/>
          <w:snapToGrid w:val="0"/>
        </w:rPr>
      </w:pPr>
      <w:r>
        <w:rPr>
          <w:rFonts w:hint="eastAsia"/>
          <w:b w:val="0"/>
          <w:bCs/>
          <w:snapToGrid w:val="0"/>
        </w:rPr>
        <w:t>3) 法律法规规定的其他情形。</w:t>
      </w:r>
    </w:p>
    <w:p w14:paraId="053053CE">
      <w:pPr>
        <w:pStyle w:val="13"/>
        <w:spacing w:before="0" w:beforeLines="0" w:after="0" w:afterLines="0"/>
        <w:rPr>
          <w:rFonts w:hint="eastAsia"/>
        </w:rPr>
      </w:pPr>
      <w:r>
        <w:rPr>
          <w:rFonts w:hint="eastAsia"/>
        </w:rPr>
        <w:t>17．投标的截止期、投标有效期</w:t>
      </w:r>
    </w:p>
    <w:p w14:paraId="33E7BB84">
      <w:pPr>
        <w:adjustRightInd w:val="0"/>
        <w:snapToGrid w:val="0"/>
        <w:spacing w:line="360" w:lineRule="auto"/>
        <w:ind w:left="476" w:hanging="476"/>
        <w:rPr>
          <w:rFonts w:hint="eastAsia" w:ascii="宋体" w:hAnsi="宋体"/>
          <w:szCs w:val="21"/>
        </w:rPr>
      </w:pPr>
      <w:r>
        <w:rPr>
          <w:rFonts w:hint="eastAsia" w:ascii="宋体" w:hAnsi="宋体"/>
          <w:szCs w:val="21"/>
        </w:rPr>
        <w:t>17.1 投标的截止时间为</w:t>
      </w:r>
      <w:r>
        <w:rPr>
          <w:rFonts w:hint="eastAsia" w:ascii="宋体" w:hAnsi="宋体"/>
          <w:b/>
          <w:bCs/>
          <w:szCs w:val="21"/>
        </w:rPr>
        <w:t>《投标人须知前附表》</w:t>
      </w:r>
      <w:r>
        <w:rPr>
          <w:rFonts w:hint="eastAsia" w:ascii="宋体" w:hAnsi="宋体"/>
          <w:szCs w:val="21"/>
        </w:rPr>
        <w:t>规定时间，在截止时间后送达或者未送达指定地点的投标文件，为无效投标文件，招标人将拒收。</w:t>
      </w:r>
    </w:p>
    <w:p w14:paraId="1F227FF2">
      <w:pPr>
        <w:adjustRightInd w:val="0"/>
        <w:snapToGrid w:val="0"/>
        <w:spacing w:line="360" w:lineRule="auto"/>
        <w:ind w:left="476" w:hanging="476"/>
        <w:rPr>
          <w:rFonts w:hint="eastAsia" w:ascii="宋体" w:hAnsi="宋体"/>
          <w:szCs w:val="21"/>
        </w:rPr>
      </w:pPr>
      <w:r>
        <w:rPr>
          <w:rFonts w:hint="eastAsia" w:ascii="宋体" w:hAnsi="宋体"/>
          <w:szCs w:val="21"/>
        </w:rPr>
        <w:t>17.2 从投标截止日起，投标有效期为</w:t>
      </w:r>
      <w:r>
        <w:rPr>
          <w:rFonts w:hint="eastAsia" w:ascii="宋体" w:hAnsi="宋体"/>
          <w:b/>
          <w:bCs/>
          <w:szCs w:val="21"/>
        </w:rPr>
        <w:t>《投标人须知前附表》</w:t>
      </w:r>
      <w:r>
        <w:rPr>
          <w:rFonts w:hint="eastAsia" w:ascii="宋体" w:hAnsi="宋体"/>
          <w:szCs w:val="21"/>
        </w:rPr>
        <w:t>规定天数。在特殊情况下，招标人可于投标有效期满之前要求投标人同意延长有效期，要求与答复均应以书面形式。投标人可以拒绝上述要求而其投标保证金予以退还，同意延期的投标人在原投标有效期内应享之权利及应负之责任也相应延续。</w:t>
      </w:r>
    </w:p>
    <w:p w14:paraId="5309FA0C">
      <w:pPr>
        <w:pStyle w:val="13"/>
        <w:rPr>
          <w:rFonts w:hint="eastAsia"/>
        </w:rPr>
      </w:pPr>
      <w:r>
        <w:rPr>
          <w:rFonts w:hint="eastAsia"/>
        </w:rPr>
        <w:t>四、投标文件的递交</w:t>
      </w:r>
    </w:p>
    <w:p w14:paraId="68B01668">
      <w:pPr>
        <w:spacing w:line="360" w:lineRule="auto"/>
      </w:pPr>
      <w:r>
        <w:rPr>
          <w:rFonts w:hint="eastAsia" w:ascii="宋体" w:hAnsi="宋体"/>
          <w:szCs w:val="21"/>
        </w:rPr>
        <w:t xml:space="preserve">18.1 </w:t>
      </w:r>
      <w:r>
        <w:t>投标文件应用不褪色的材料书写或打印并加盖投标人公章。投标人存在相关授权委托人的，投标文件应附由法定代表人签署的授权委托书；</w:t>
      </w:r>
    </w:p>
    <w:p w14:paraId="4DE4279A">
      <w:pPr>
        <w:spacing w:line="360" w:lineRule="auto"/>
      </w:pPr>
      <w:r>
        <w:rPr>
          <w:rFonts w:hint="eastAsia" w:ascii="宋体" w:hAnsi="宋体"/>
          <w:szCs w:val="21"/>
        </w:rPr>
        <w:t xml:space="preserve">18.2 </w:t>
      </w:r>
      <w:r>
        <w:rPr>
          <w:rFonts w:hint="eastAsia"/>
        </w:rPr>
        <w:t>投标文件一正一副，投标文件的正本和副本的封面上应清楚地标记“正本”或“副本”的字样。当副本和正本不一致时，以正本为准。投标文件的正本与副本应分别装订成册，各册独立装订的投标文件均采用不易松散的书式装订；</w:t>
      </w:r>
    </w:p>
    <w:p w14:paraId="1AF385AB">
      <w:pPr>
        <w:spacing w:line="360" w:lineRule="auto"/>
      </w:pPr>
      <w:r>
        <w:rPr>
          <w:rFonts w:hint="eastAsia" w:ascii="宋体" w:hAnsi="宋体"/>
          <w:szCs w:val="21"/>
        </w:rPr>
        <w:t xml:space="preserve">18.3 </w:t>
      </w:r>
      <w:r>
        <w:rPr>
          <w:rFonts w:hint="eastAsia"/>
        </w:rPr>
        <w:t>投标文件的规格：投标文件封面应列明项目名称、招标人名称，投标文件封面必须加盖投标人法定印章，并经法定代表人或授权委托人签字盖章。使用电子版投标文件的，应以U 盘（或光盘）的形式密封在不透明的信封中加盖投标人法定印章；</w:t>
      </w:r>
    </w:p>
    <w:p w14:paraId="3FBCE96E">
      <w:pPr>
        <w:spacing w:line="360" w:lineRule="auto"/>
        <w:rPr>
          <w:rFonts w:hint="eastAsia" w:ascii="微软雅黑" w:hAnsi="微软雅黑" w:eastAsia="微软雅黑" w:cs="微软雅黑"/>
          <w:szCs w:val="21"/>
        </w:rPr>
      </w:pPr>
      <w:r>
        <w:rPr>
          <w:rFonts w:hint="eastAsia" w:ascii="宋体" w:hAnsi="宋体"/>
          <w:szCs w:val="21"/>
        </w:rPr>
        <w:t xml:space="preserve">18.4 </w:t>
      </w:r>
      <w:r>
        <w:rPr>
          <w:rFonts w:hint="eastAsia"/>
        </w:rPr>
        <w:t>投标文件的密封要求：投标人应确保投标文件密闭封装，外包装材料不应留有可在包封后添加或抽取投标文件的空隙。</w:t>
      </w:r>
    </w:p>
    <w:p w14:paraId="2F11C2D1">
      <w:pPr>
        <w:pStyle w:val="13"/>
        <w:rPr>
          <w:rFonts w:hint="eastAsia"/>
        </w:rPr>
      </w:pPr>
      <w:r>
        <w:rPr>
          <w:rFonts w:hint="eastAsia"/>
        </w:rPr>
        <w:t>五、开标、评标定标</w:t>
      </w:r>
    </w:p>
    <w:p w14:paraId="6253D94B">
      <w:pPr>
        <w:spacing w:line="360" w:lineRule="auto"/>
        <w:rPr>
          <w:b/>
          <w:bCs/>
        </w:rPr>
      </w:pPr>
      <w:r>
        <w:rPr>
          <w:rFonts w:hint="eastAsia"/>
          <w:b/>
          <w:bCs/>
        </w:rPr>
        <w:t>19 开标</w:t>
      </w:r>
    </w:p>
    <w:p w14:paraId="2250762A">
      <w:pPr>
        <w:spacing w:line="360" w:lineRule="auto"/>
      </w:pPr>
      <w:r>
        <w:rPr>
          <w:rFonts w:hint="eastAsia" w:ascii="宋体" w:hAnsi="宋体"/>
          <w:szCs w:val="21"/>
        </w:rPr>
        <w:t xml:space="preserve">19.1 </w:t>
      </w:r>
      <w:r>
        <w:rPr>
          <w:rFonts w:hint="eastAsia"/>
        </w:rPr>
        <w:t>招标人按规定的时间和地点开标。提交撤回通知的投标文件不予开封，并退回给投标人。</w:t>
      </w:r>
    </w:p>
    <w:p w14:paraId="4F5FB056">
      <w:pPr>
        <w:spacing w:line="360" w:lineRule="auto"/>
      </w:pPr>
      <w:r>
        <w:rPr>
          <w:rFonts w:hint="eastAsia" w:ascii="宋体" w:hAnsi="宋体"/>
          <w:szCs w:val="21"/>
        </w:rPr>
        <w:t xml:space="preserve">19.2 </w:t>
      </w:r>
      <w:r>
        <w:rPr>
          <w:rFonts w:hint="eastAsia"/>
        </w:rPr>
        <w:t>经办人介绍项目基本情况。按要求提交投标文件的，评标小组检查投标文件的包封、标记和密封情况，开标时当众予以拆封、宣读。</w:t>
      </w:r>
    </w:p>
    <w:p w14:paraId="47708C82">
      <w:pPr>
        <w:spacing w:line="360" w:lineRule="auto"/>
      </w:pPr>
      <w:r>
        <w:rPr>
          <w:rFonts w:hint="eastAsia" w:ascii="宋体" w:hAnsi="宋体"/>
          <w:szCs w:val="21"/>
        </w:rPr>
        <w:t xml:space="preserve">19.3 </w:t>
      </w:r>
      <w:r>
        <w:rPr>
          <w:rFonts w:hint="eastAsia"/>
        </w:rPr>
        <w:t>经确认无误后，评标小组根据投标文件按评分表要求进行综合评分并予以记录。</w:t>
      </w:r>
    </w:p>
    <w:p w14:paraId="6DC68EF4">
      <w:pPr>
        <w:spacing w:line="360" w:lineRule="auto"/>
        <w:rPr>
          <w:b/>
          <w:bCs/>
        </w:rPr>
      </w:pPr>
      <w:r>
        <w:rPr>
          <w:rFonts w:hint="eastAsia"/>
          <w:b/>
          <w:bCs/>
        </w:rPr>
        <w:t>20 评标小组组成</w:t>
      </w:r>
    </w:p>
    <w:p w14:paraId="2B06981F">
      <w:pPr>
        <w:spacing w:line="360" w:lineRule="auto"/>
      </w:pPr>
      <w:r>
        <w:rPr>
          <w:rFonts w:hint="eastAsia" w:ascii="宋体" w:hAnsi="宋体"/>
          <w:szCs w:val="21"/>
        </w:rPr>
        <w:t xml:space="preserve">20.1 </w:t>
      </w:r>
      <w:r>
        <w:rPr>
          <w:rFonts w:hint="eastAsia"/>
        </w:rPr>
        <w:t>评标小组由招标工作组按照招标管理办法抽取评标人员组成。</w:t>
      </w:r>
    </w:p>
    <w:p w14:paraId="03A0F22B">
      <w:pPr>
        <w:spacing w:line="360" w:lineRule="auto"/>
        <w:rPr>
          <w:b/>
          <w:bCs/>
        </w:rPr>
      </w:pPr>
      <w:r>
        <w:rPr>
          <w:rFonts w:hint="eastAsia"/>
          <w:b/>
          <w:bCs/>
        </w:rPr>
        <w:t>21 评标办法</w:t>
      </w:r>
    </w:p>
    <w:p w14:paraId="2631D73F">
      <w:pPr>
        <w:spacing w:line="360" w:lineRule="auto"/>
      </w:pPr>
      <w:r>
        <w:rPr>
          <w:rFonts w:hint="eastAsia"/>
        </w:rPr>
        <w:t>21.1 详见第四部分 评标办法</w:t>
      </w:r>
    </w:p>
    <w:p w14:paraId="1A8DA8F1">
      <w:pPr>
        <w:spacing w:line="360" w:lineRule="auto"/>
        <w:rPr>
          <w:b/>
          <w:bCs/>
        </w:rPr>
      </w:pPr>
      <w:r>
        <w:rPr>
          <w:rFonts w:hint="eastAsia"/>
          <w:b/>
          <w:bCs/>
        </w:rPr>
        <w:t>六、投标文件的澄清和补正</w:t>
      </w:r>
    </w:p>
    <w:p w14:paraId="1D9C545E">
      <w:pPr>
        <w:spacing w:line="360" w:lineRule="auto"/>
      </w:pPr>
      <w:r>
        <w:rPr>
          <w:rFonts w:hint="eastAsia" w:ascii="宋体" w:hAnsi="宋体"/>
          <w:szCs w:val="21"/>
        </w:rPr>
        <w:t xml:space="preserve">22.1 </w:t>
      </w:r>
      <w:r>
        <w:rPr>
          <w:rFonts w:hint="eastAsia"/>
        </w:rPr>
        <w:t>为有助于投标文件的审查、评价和比较，评标期间，经评标小组中过半数或以上成员以书面形式提出动议，评标小组应当书面发出澄清通知，要求投标人对投标文件含义不明确的内容作出澄清。</w:t>
      </w:r>
    </w:p>
    <w:p w14:paraId="6EB87D94">
      <w:pPr>
        <w:spacing w:line="360" w:lineRule="auto"/>
      </w:pPr>
      <w:r>
        <w:rPr>
          <w:rFonts w:hint="eastAsia" w:ascii="宋体" w:hAnsi="宋体"/>
          <w:szCs w:val="21"/>
        </w:rPr>
        <w:t xml:space="preserve">22.2 </w:t>
      </w:r>
      <w:r>
        <w:rPr>
          <w:rFonts w:hint="eastAsia"/>
        </w:rPr>
        <w:t>投标人应以书面形式进行澄清，澄清中的承诺性意思表示在投标文件有效期内均对投标人有约束力。除评标小组对评标中发现算术错误进行修正后要求投标人以澄清形式进行的核实和确认外，澄清不得超出投标文件的范围或改变投标文件的实质性内容，超出部分不作为评标小组相应评标的依据。</w:t>
      </w:r>
    </w:p>
    <w:p w14:paraId="41D8EF7D">
      <w:pPr>
        <w:spacing w:line="360" w:lineRule="auto"/>
      </w:pPr>
      <w:r>
        <w:rPr>
          <w:rFonts w:hint="eastAsia" w:ascii="宋体" w:hAnsi="宋体"/>
          <w:szCs w:val="21"/>
        </w:rPr>
        <w:t xml:space="preserve">22.3 </w:t>
      </w:r>
      <w:r>
        <w:rPr>
          <w:rFonts w:hint="eastAsia"/>
        </w:rPr>
        <w:t>评标小组各成员均应当阅读投标人的澄清，但应独立参考澄清对投标文件进行评标。</w:t>
      </w:r>
    </w:p>
    <w:p w14:paraId="34EF5B92">
      <w:pPr>
        <w:spacing w:line="360" w:lineRule="auto"/>
      </w:pPr>
      <w:r>
        <w:rPr>
          <w:rFonts w:hint="eastAsia" w:ascii="宋体" w:hAnsi="宋体"/>
          <w:szCs w:val="21"/>
        </w:rPr>
        <w:t xml:space="preserve">22.4 </w:t>
      </w:r>
      <w:r>
        <w:rPr>
          <w:rFonts w:hint="eastAsia"/>
        </w:rPr>
        <w:t>如果投标文件实质上不响应招标文件的各项要求，评标小组相应评标将按照符合性审查标准予以拒绝，不接受投标人通过修改或撤销其不符合要求的差异或保留，使之成为具有响应性的文件。</w:t>
      </w:r>
    </w:p>
    <w:p w14:paraId="765F1158">
      <w:pPr>
        <w:spacing w:line="360" w:lineRule="auto"/>
        <w:rPr>
          <w:b/>
          <w:bCs/>
        </w:rPr>
      </w:pPr>
      <w:r>
        <w:rPr>
          <w:rFonts w:hint="eastAsia"/>
          <w:b/>
          <w:bCs/>
        </w:rPr>
        <w:t>七、定标</w:t>
      </w:r>
    </w:p>
    <w:p w14:paraId="2C62B5CC">
      <w:pPr>
        <w:spacing w:line="360" w:lineRule="auto"/>
      </w:pPr>
      <w:r>
        <w:rPr>
          <w:rFonts w:hint="eastAsia" w:ascii="宋体" w:hAnsi="宋体"/>
          <w:szCs w:val="21"/>
        </w:rPr>
        <w:t xml:space="preserve">23.1 </w:t>
      </w:r>
      <w:r>
        <w:rPr>
          <w:rFonts w:hint="eastAsia"/>
        </w:rPr>
        <w:t>招标人依据评标小组的评标结果依法确定两个子项的中标人，并以书面形式分别向中标人发出中标通知书。</w:t>
      </w:r>
    </w:p>
    <w:p w14:paraId="377D5EAA">
      <w:pPr>
        <w:spacing w:line="360" w:lineRule="auto"/>
        <w:rPr>
          <w:b/>
          <w:bCs/>
        </w:rPr>
      </w:pPr>
      <w:r>
        <w:rPr>
          <w:rFonts w:hint="eastAsia"/>
          <w:b/>
          <w:bCs/>
        </w:rPr>
        <w:t>八、其他</w:t>
      </w:r>
    </w:p>
    <w:p w14:paraId="7D1BD964">
      <w:pPr>
        <w:spacing w:line="360" w:lineRule="auto"/>
      </w:pPr>
      <w:r>
        <w:rPr>
          <w:rFonts w:hint="eastAsia" w:ascii="宋体" w:hAnsi="宋体"/>
          <w:szCs w:val="21"/>
        </w:rPr>
        <w:t xml:space="preserve">24.1 </w:t>
      </w:r>
      <w:r>
        <w:rPr>
          <w:rFonts w:hint="eastAsia"/>
        </w:rPr>
        <w:t>本项目满足符合性审查的投标人不足 3 名或经评标有效的投标人不足 3 名时为招标失败，招标人重新组织招标。</w:t>
      </w:r>
    </w:p>
    <w:p w14:paraId="50069716">
      <w:pPr>
        <w:spacing w:line="360" w:lineRule="auto"/>
        <w:rPr>
          <w:b/>
          <w:bCs/>
        </w:rPr>
      </w:pPr>
      <w:r>
        <w:rPr>
          <w:rFonts w:hint="eastAsia"/>
          <w:b/>
          <w:bCs/>
        </w:rPr>
        <w:t>九、异议和投诉</w:t>
      </w:r>
    </w:p>
    <w:p w14:paraId="22F2762D">
      <w:pPr>
        <w:spacing w:line="360" w:lineRule="auto"/>
      </w:pPr>
      <w:r>
        <w:rPr>
          <w:rFonts w:hint="eastAsia" w:ascii="宋体" w:hAnsi="宋体"/>
          <w:szCs w:val="21"/>
        </w:rPr>
        <w:t xml:space="preserve">25.1 </w:t>
      </w:r>
      <w:r>
        <w:rPr>
          <w:rFonts w:hint="eastAsia"/>
        </w:rPr>
        <w:t>如果投标人对此次招标活动有疑异议，可依法向招标人提出。招标人应当依法给与答复，并将结果告知有关当事人。</w:t>
      </w:r>
    </w:p>
    <w:p w14:paraId="0296A610">
      <w:pPr>
        <w:spacing w:line="360" w:lineRule="auto"/>
      </w:pPr>
      <w:r>
        <w:rPr>
          <w:rFonts w:hint="eastAsia" w:ascii="宋体" w:hAnsi="宋体"/>
          <w:szCs w:val="21"/>
        </w:rPr>
        <w:t xml:space="preserve">25.2 </w:t>
      </w:r>
      <w:r>
        <w:rPr>
          <w:rFonts w:hint="eastAsia"/>
        </w:rPr>
        <w:t>投标人对招标人的答复不满意或他们未在规定时间内给予答复的，提出异议的投标人可以在答复期满后10日内，可向有关招标监督管理机构投诉。投诉应当有明确的请求和必要的证明材料。</w:t>
      </w:r>
    </w:p>
    <w:p w14:paraId="5F833F31">
      <w:pPr>
        <w:spacing w:line="360" w:lineRule="auto"/>
      </w:pPr>
      <w:r>
        <w:rPr>
          <w:rFonts w:hint="eastAsia" w:ascii="宋体" w:hAnsi="宋体"/>
          <w:szCs w:val="21"/>
        </w:rPr>
        <w:t xml:space="preserve">25.3 </w:t>
      </w:r>
      <w:r>
        <w:rPr>
          <w:rFonts w:hint="eastAsia"/>
        </w:rPr>
        <w:t>投诉部门：</w:t>
      </w:r>
      <w:r>
        <w:t>广州市番禺区石壁街道钟顺路</w:t>
      </w:r>
      <w:r>
        <w:rPr>
          <w:rFonts w:hint="eastAsia"/>
        </w:rPr>
        <w:t>626号纪委办公室</w:t>
      </w:r>
    </w:p>
    <w:p w14:paraId="401BB1F4">
      <w:pPr>
        <w:spacing w:line="360" w:lineRule="auto"/>
      </w:pPr>
      <w:r>
        <w:rPr>
          <w:rFonts w:hint="eastAsia" w:ascii="宋体" w:hAnsi="宋体"/>
          <w:szCs w:val="21"/>
        </w:rPr>
        <w:t xml:space="preserve">25.4 </w:t>
      </w:r>
      <w:r>
        <w:rPr>
          <w:rFonts w:hint="eastAsia"/>
        </w:rPr>
        <w:t>联系电话：020-84539889、020-31177298</w:t>
      </w:r>
    </w:p>
    <w:p w14:paraId="033A1F0A">
      <w:pPr>
        <w:pStyle w:val="13"/>
        <w:rPr>
          <w:rFonts w:hint="eastAsia"/>
        </w:rPr>
      </w:pPr>
      <w:r>
        <w:rPr>
          <w:rFonts w:hint="eastAsia"/>
        </w:rPr>
        <w:t>十、合同的订立和履行</w:t>
      </w:r>
    </w:p>
    <w:p w14:paraId="19C3C535">
      <w:pPr>
        <w:pStyle w:val="13"/>
        <w:spacing w:before="0" w:beforeLines="0" w:after="0" w:afterLines="0"/>
        <w:rPr>
          <w:rFonts w:hint="eastAsia"/>
        </w:rPr>
      </w:pPr>
      <w:r>
        <w:rPr>
          <w:rFonts w:hint="eastAsia"/>
        </w:rPr>
        <w:t>26．合同的订立</w:t>
      </w:r>
    </w:p>
    <w:p w14:paraId="75D5D0DD">
      <w:pPr>
        <w:adjustRightInd w:val="0"/>
        <w:snapToGrid w:val="0"/>
        <w:spacing w:line="360" w:lineRule="auto"/>
        <w:ind w:left="476" w:hanging="476"/>
        <w:rPr>
          <w:rFonts w:hint="eastAsia" w:ascii="宋体" w:hAnsi="宋体"/>
          <w:szCs w:val="21"/>
        </w:rPr>
      </w:pPr>
      <w:r>
        <w:rPr>
          <w:rFonts w:hint="eastAsia" w:ascii="宋体" w:hAnsi="宋体"/>
          <w:szCs w:val="21"/>
        </w:rPr>
        <w:t>26.1招标人与中标人自中标通知书发出之日起三十日内，按招标文件要求和中标人投标文件承诺签订采购合同，合同的标的、质量、履行期限条款和合同的价款、单价、比例条款等主要条款，应当与招标文件、中标人的投标文件的内容一致，不得超出招标文件和中标人投标文件的范围、也不得再行订立背离合同实质性内容的其他协议。</w:t>
      </w:r>
    </w:p>
    <w:p w14:paraId="73FC9D2A">
      <w:pPr>
        <w:adjustRightInd w:val="0"/>
        <w:snapToGrid w:val="0"/>
        <w:spacing w:line="360" w:lineRule="auto"/>
        <w:ind w:left="476" w:hanging="476"/>
      </w:pPr>
      <w:r>
        <w:rPr>
          <w:rFonts w:hint="eastAsia" w:ascii="宋体" w:hAnsi="宋体"/>
          <w:szCs w:val="21"/>
        </w:rPr>
        <w:t>26.2子项一（公共区域办公家具）以广州工控智能装备产业有限公司为主体签订合同，子项二（广重集团办公家具）以广州广重企业集团有限公司为主体签订合同。</w:t>
      </w:r>
    </w:p>
    <w:p w14:paraId="1E88A8C6">
      <w:pPr>
        <w:pStyle w:val="13"/>
        <w:spacing w:before="0" w:beforeLines="0" w:after="0" w:afterLines="0"/>
        <w:rPr>
          <w:rFonts w:hint="eastAsia"/>
        </w:rPr>
      </w:pPr>
      <w:r>
        <w:rPr>
          <w:rFonts w:hint="eastAsia"/>
        </w:rPr>
        <w:t>27．合同的履行</w:t>
      </w:r>
    </w:p>
    <w:p w14:paraId="0E92A6A2">
      <w:pPr>
        <w:adjustRightInd w:val="0"/>
        <w:snapToGrid w:val="0"/>
        <w:spacing w:line="360" w:lineRule="auto"/>
        <w:ind w:left="476" w:hanging="476"/>
        <w:rPr>
          <w:rFonts w:hint="eastAsia" w:ascii="宋体" w:hAnsi="宋体"/>
          <w:szCs w:val="21"/>
        </w:rPr>
      </w:pPr>
      <w:r>
        <w:rPr>
          <w:rFonts w:hint="eastAsia" w:ascii="宋体" w:hAnsi="宋体"/>
          <w:szCs w:val="21"/>
        </w:rPr>
        <w:t>27.1采购合同订立后，合同各方不得擅自变更、中止或者终止合同。</w:t>
      </w:r>
    </w:p>
    <w:p w14:paraId="3AA01CEE">
      <w:pPr>
        <w:adjustRightInd w:val="0"/>
        <w:snapToGrid w:val="0"/>
        <w:spacing w:line="360" w:lineRule="auto"/>
        <w:ind w:left="476" w:hanging="476"/>
        <w:rPr>
          <w:rFonts w:hint="eastAsia" w:ascii="宋体" w:hAnsi="宋体"/>
          <w:szCs w:val="21"/>
        </w:rPr>
      </w:pPr>
      <w:r>
        <w:rPr>
          <w:rFonts w:hint="eastAsia" w:ascii="宋体" w:hAnsi="宋体"/>
          <w:szCs w:val="21"/>
        </w:rPr>
        <w:t>27.2如果</w:t>
      </w:r>
      <w:r>
        <w:rPr>
          <w:rFonts w:hint="eastAsia" w:ascii="宋体" w:hAnsi="宋体"/>
          <w:b/>
          <w:bCs/>
          <w:szCs w:val="21"/>
        </w:rPr>
        <w:t>《投标人须知前附表》</w:t>
      </w:r>
      <w:r>
        <w:rPr>
          <w:rFonts w:hint="eastAsia" w:ascii="宋体" w:hAnsi="宋体"/>
          <w:szCs w:val="21"/>
        </w:rPr>
        <w:t>有要求，中标人</w:t>
      </w:r>
      <w:r>
        <w:rPr>
          <w:rFonts w:hint="eastAsia" w:ascii="宋体" w:hAnsi="宋体"/>
        </w:rPr>
        <w:t>应按照招标文件的</w:t>
      </w:r>
      <w:r>
        <w:rPr>
          <w:rFonts w:hint="eastAsia" w:ascii="宋体" w:hAnsi="宋体"/>
          <w:szCs w:val="21"/>
        </w:rPr>
        <w:t>规定，采用履约保证金银行保函形式或招标人可以接受的其它形式向招标人提交履约保证金。如果</w:t>
      </w:r>
      <w:r>
        <w:rPr>
          <w:rFonts w:ascii="宋体" w:hAnsi="宋体"/>
          <w:szCs w:val="21"/>
        </w:rPr>
        <w:t>中标人不</w:t>
      </w:r>
      <w:r>
        <w:rPr>
          <w:rFonts w:hint="eastAsia" w:ascii="宋体" w:hAnsi="宋体"/>
          <w:szCs w:val="21"/>
        </w:rPr>
        <w:t>按规定向招标人提交履约担保</w:t>
      </w:r>
      <w:r>
        <w:rPr>
          <w:rFonts w:ascii="宋体" w:hAnsi="宋体"/>
          <w:szCs w:val="21"/>
        </w:rPr>
        <w:t>，招标人将有充分的理由取消其中标资格并不予退还其投标保证金</w:t>
      </w:r>
      <w:r>
        <w:rPr>
          <w:rFonts w:hint="eastAsia" w:ascii="宋体" w:hAnsi="宋体"/>
          <w:szCs w:val="21"/>
        </w:rPr>
        <w:t>。</w:t>
      </w:r>
    </w:p>
    <w:p w14:paraId="7AF99E1C">
      <w:pPr>
        <w:pStyle w:val="13"/>
        <w:rPr>
          <w:rFonts w:hint="eastAsia"/>
        </w:rPr>
      </w:pPr>
      <w:r>
        <w:rPr>
          <w:rFonts w:hint="eastAsia"/>
        </w:rPr>
        <w:t>十一、适用法律</w:t>
      </w:r>
    </w:p>
    <w:p w14:paraId="79E541DE">
      <w:pPr>
        <w:pStyle w:val="13"/>
        <w:spacing w:before="0" w:beforeLines="0" w:after="0" w:afterLines="0"/>
        <w:rPr>
          <w:rFonts w:hint="eastAsia"/>
        </w:rPr>
      </w:pPr>
      <w:r>
        <w:rPr>
          <w:rFonts w:hint="eastAsia"/>
        </w:rPr>
        <w:t>28．</w:t>
      </w:r>
      <w:r>
        <w:rPr>
          <w:rFonts w:hint="eastAsia"/>
          <w:b w:val="0"/>
          <w:bCs/>
        </w:rPr>
        <w:t>招标人及投标人的一切招标投标活动均适用《中华人民共和国招标投标法》及其配套的法规、规章、政策。</w:t>
      </w:r>
    </w:p>
    <w:p w14:paraId="5421BA14">
      <w:pPr>
        <w:spacing w:line="480" w:lineRule="exact"/>
        <w:jc w:val="center"/>
        <w:rPr>
          <w:rFonts w:eastAsia="黑体"/>
          <w:b/>
          <w:sz w:val="44"/>
        </w:rPr>
      </w:pPr>
      <w:r>
        <w:rPr>
          <w:sz w:val="24"/>
        </w:rPr>
        <w:br w:type="page"/>
      </w:r>
    </w:p>
    <w:p w14:paraId="46EEE6CC">
      <w:pPr>
        <w:spacing w:line="480" w:lineRule="exact"/>
        <w:jc w:val="center"/>
        <w:rPr>
          <w:rFonts w:eastAsia="黑体"/>
          <w:b/>
          <w:sz w:val="44"/>
        </w:rPr>
      </w:pPr>
    </w:p>
    <w:p w14:paraId="1D966690">
      <w:pPr>
        <w:spacing w:line="480" w:lineRule="exact"/>
        <w:jc w:val="center"/>
        <w:rPr>
          <w:rFonts w:eastAsia="黑体"/>
          <w:b/>
          <w:sz w:val="44"/>
        </w:rPr>
      </w:pPr>
    </w:p>
    <w:p w14:paraId="42C754DC">
      <w:pPr>
        <w:spacing w:line="480" w:lineRule="exact"/>
        <w:jc w:val="center"/>
        <w:rPr>
          <w:rFonts w:eastAsia="黑体"/>
          <w:b/>
          <w:sz w:val="44"/>
        </w:rPr>
      </w:pPr>
    </w:p>
    <w:p w14:paraId="7311DE27">
      <w:pPr>
        <w:spacing w:line="480" w:lineRule="exact"/>
        <w:jc w:val="center"/>
        <w:rPr>
          <w:rFonts w:eastAsia="黑体"/>
          <w:b/>
          <w:sz w:val="44"/>
        </w:rPr>
      </w:pPr>
    </w:p>
    <w:p w14:paraId="39A6C306">
      <w:pPr>
        <w:spacing w:line="480" w:lineRule="exact"/>
        <w:jc w:val="center"/>
        <w:rPr>
          <w:rFonts w:eastAsia="黑体"/>
          <w:b/>
          <w:sz w:val="44"/>
        </w:rPr>
      </w:pPr>
    </w:p>
    <w:p w14:paraId="0CB7BE65">
      <w:pPr>
        <w:spacing w:line="480" w:lineRule="exact"/>
        <w:jc w:val="center"/>
        <w:rPr>
          <w:rFonts w:eastAsia="黑体"/>
          <w:b/>
          <w:sz w:val="44"/>
        </w:rPr>
      </w:pPr>
    </w:p>
    <w:p w14:paraId="0C15C19F">
      <w:pPr>
        <w:spacing w:line="480" w:lineRule="exact"/>
        <w:jc w:val="center"/>
        <w:rPr>
          <w:rFonts w:eastAsia="黑体"/>
          <w:b/>
          <w:sz w:val="44"/>
        </w:rPr>
      </w:pPr>
    </w:p>
    <w:p w14:paraId="5C14F43A">
      <w:pPr>
        <w:spacing w:line="480" w:lineRule="exact"/>
        <w:jc w:val="center"/>
        <w:rPr>
          <w:rFonts w:eastAsia="黑体"/>
          <w:b/>
          <w:sz w:val="44"/>
        </w:rPr>
      </w:pPr>
    </w:p>
    <w:p w14:paraId="7C1F0894">
      <w:pPr>
        <w:spacing w:line="480" w:lineRule="exact"/>
        <w:jc w:val="center"/>
        <w:rPr>
          <w:rFonts w:eastAsia="黑体"/>
          <w:b/>
          <w:sz w:val="44"/>
        </w:rPr>
      </w:pPr>
    </w:p>
    <w:p w14:paraId="52167E20">
      <w:pPr>
        <w:spacing w:line="480" w:lineRule="exact"/>
        <w:jc w:val="center"/>
        <w:rPr>
          <w:rFonts w:eastAsia="黑体"/>
          <w:b/>
          <w:sz w:val="44"/>
        </w:rPr>
      </w:pPr>
    </w:p>
    <w:p w14:paraId="557DD8BF">
      <w:pPr>
        <w:spacing w:line="480" w:lineRule="exact"/>
        <w:jc w:val="center"/>
        <w:rPr>
          <w:rFonts w:eastAsia="黑体"/>
          <w:b/>
          <w:sz w:val="44"/>
        </w:rPr>
      </w:pPr>
    </w:p>
    <w:p w14:paraId="235E4206">
      <w:pPr>
        <w:spacing w:line="480" w:lineRule="exact"/>
        <w:jc w:val="center"/>
        <w:rPr>
          <w:rFonts w:eastAsia="黑体"/>
          <w:b/>
          <w:sz w:val="44"/>
        </w:rPr>
      </w:pPr>
    </w:p>
    <w:p w14:paraId="33C14BB6">
      <w:pPr>
        <w:spacing w:line="480" w:lineRule="exact"/>
        <w:jc w:val="center"/>
        <w:outlineLvl w:val="0"/>
        <w:rPr>
          <w:rFonts w:eastAsia="黑体"/>
          <w:b/>
          <w:sz w:val="44"/>
        </w:rPr>
      </w:pPr>
      <w:r>
        <w:rPr>
          <w:rFonts w:hint="eastAsia" w:eastAsia="黑体"/>
          <w:b/>
          <w:sz w:val="44"/>
        </w:rPr>
        <w:t xml:space="preserve">第四部分 </w:t>
      </w:r>
      <w:r>
        <w:rPr>
          <w:rFonts w:eastAsia="黑体"/>
          <w:b/>
          <w:sz w:val="44"/>
        </w:rPr>
        <w:t xml:space="preserve"> </w:t>
      </w:r>
      <w:r>
        <w:rPr>
          <w:rFonts w:hint="eastAsia" w:eastAsia="黑体"/>
          <w:b/>
          <w:sz w:val="44"/>
        </w:rPr>
        <w:t>评标方法</w:t>
      </w:r>
    </w:p>
    <w:p w14:paraId="5E4AEF7A">
      <w:pPr>
        <w:pStyle w:val="7"/>
        <w:spacing w:line="360" w:lineRule="auto"/>
        <w:ind w:firstLine="0" w:firstLineChars="0"/>
        <w:jc w:val="center"/>
        <w:rPr>
          <w:rFonts w:eastAsia="黑体"/>
          <w:b/>
          <w:sz w:val="44"/>
        </w:rPr>
      </w:pPr>
    </w:p>
    <w:p w14:paraId="1A7828EF">
      <w:pPr>
        <w:pStyle w:val="7"/>
        <w:spacing w:line="360" w:lineRule="auto"/>
        <w:ind w:firstLine="0" w:firstLineChars="0"/>
        <w:jc w:val="center"/>
        <w:rPr>
          <w:b/>
          <w:sz w:val="28"/>
          <w:szCs w:val="28"/>
        </w:rPr>
      </w:pPr>
      <w:r>
        <w:br w:type="page"/>
      </w:r>
      <w:r>
        <w:rPr>
          <w:rFonts w:hint="eastAsia"/>
          <w:b/>
          <w:sz w:val="28"/>
          <w:szCs w:val="28"/>
        </w:rPr>
        <w:t>评标方法</w:t>
      </w:r>
    </w:p>
    <w:p w14:paraId="52EF6E49">
      <w:pPr>
        <w:spacing w:line="360" w:lineRule="auto"/>
        <w:rPr>
          <w:b/>
          <w:bCs/>
        </w:rPr>
      </w:pPr>
      <w:r>
        <w:rPr>
          <w:rFonts w:hint="eastAsia"/>
          <w:b/>
          <w:bCs/>
        </w:rPr>
        <w:t>一、开标</w:t>
      </w:r>
    </w:p>
    <w:p w14:paraId="68E418D1">
      <w:pPr>
        <w:spacing w:line="360" w:lineRule="auto"/>
      </w:pPr>
      <w:r>
        <w:rPr>
          <w:rFonts w:hint="eastAsia"/>
        </w:rPr>
        <w:t>（一）招标人按规定的时间和地点开标。提交撤回通知的投标文件不予开封，并退回给投标人。</w:t>
      </w:r>
    </w:p>
    <w:p w14:paraId="0F9DA673">
      <w:pPr>
        <w:spacing w:line="360" w:lineRule="auto"/>
      </w:pPr>
      <w:r>
        <w:rPr>
          <w:rFonts w:hint="eastAsia"/>
        </w:rPr>
        <w:t>（二）经办人介绍项目基本情况。按要求提交投标文件的，评标小组检查投标文件的包封、标记和密封情况，开标时当众予以拆封、宣读。</w:t>
      </w:r>
    </w:p>
    <w:p w14:paraId="740E7E8B">
      <w:pPr>
        <w:spacing w:line="360" w:lineRule="auto"/>
      </w:pPr>
      <w:r>
        <w:rPr>
          <w:rFonts w:hint="eastAsia"/>
        </w:rPr>
        <w:t>（三）经确认无误后，评标小组根据投标文件按评分表要求进行综合评分并予以记录。</w:t>
      </w:r>
    </w:p>
    <w:p w14:paraId="7E1044B0">
      <w:pPr>
        <w:spacing w:line="360" w:lineRule="auto"/>
        <w:rPr>
          <w:b/>
          <w:bCs/>
        </w:rPr>
      </w:pPr>
      <w:r>
        <w:rPr>
          <w:rFonts w:hint="eastAsia"/>
          <w:b/>
          <w:bCs/>
        </w:rPr>
        <w:t>二、评标小组组成</w:t>
      </w:r>
    </w:p>
    <w:p w14:paraId="2F0CA8E6">
      <w:pPr>
        <w:spacing w:line="360" w:lineRule="auto"/>
      </w:pPr>
      <w:r>
        <w:rPr>
          <w:rFonts w:hint="eastAsia"/>
        </w:rPr>
        <w:t>评标小组由招标管理部门按照招标管理办法抽取评标人员组成。</w:t>
      </w:r>
    </w:p>
    <w:p w14:paraId="460C47C5">
      <w:pPr>
        <w:spacing w:line="360" w:lineRule="auto"/>
        <w:rPr>
          <w:b/>
          <w:bCs/>
        </w:rPr>
      </w:pPr>
      <w:r>
        <w:rPr>
          <w:rFonts w:hint="eastAsia"/>
          <w:b/>
          <w:bCs/>
        </w:rPr>
        <w:t>三、评标办法</w:t>
      </w:r>
    </w:p>
    <w:p w14:paraId="6CBA407D">
      <w:pPr>
        <w:spacing w:line="360" w:lineRule="auto"/>
        <w:ind w:firstLine="420" w:firstLineChars="200"/>
      </w:pPr>
      <w:r>
        <w:rPr>
          <w:rFonts w:hint="eastAsia"/>
        </w:rPr>
        <w:t>本项目评标办法采取综合评分法。评标小组对满足符合性审查标准的投标文件，按照详细评标标准进行评分。招标人组织一次评标会议采用同一评分标准按顺序对两个子项分别评分并按综合得分排名分别推荐中标候选人。详细评标程序如下：</w:t>
      </w:r>
    </w:p>
    <w:p w14:paraId="67BDF6F7">
      <w:pPr>
        <w:spacing w:line="360" w:lineRule="auto"/>
        <w:ind w:firstLine="420" w:firstLineChars="200"/>
      </w:pPr>
      <w:r>
        <w:rPr>
          <w:rFonts w:hint="eastAsia" w:ascii="宋体" w:hAnsi="宋体"/>
          <w:szCs w:val="21"/>
        </w:rPr>
        <w:t>1.</w:t>
      </w:r>
      <w:r>
        <w:rPr>
          <w:rFonts w:hint="eastAsia"/>
        </w:rPr>
        <w:t>评标小组首先按照符合性审查表对按要求递交投标文件的投标人进行初步审查，只有通过初步审查的投标人才能进入下一阶段评标。如评标小组成员的评标意见不一致时，以评标小组过半数成员的意见作为评标小组对该情形的认定结论。评委发现投标文件中含义不明确、对同类问题表述不一致、有明显文字和计算错误的，应当要求投标人作必要的澄清、说明后再判定投标人是否通过初步审查，不得直接否决其投标文件。</w:t>
      </w:r>
    </w:p>
    <w:p w14:paraId="7399C00E">
      <w:pPr>
        <w:spacing w:line="360" w:lineRule="auto"/>
        <w:ind w:firstLine="420" w:firstLineChars="200"/>
      </w:pPr>
      <w:r>
        <w:rPr>
          <w:rFonts w:hint="eastAsia"/>
        </w:rPr>
        <w:t>2.对通过符合性审查的各投标人报价进行算术校核。响应报价有算术错误的，评标小组按以下原则对响应报价进行修正，修正的价格经投标人确认后具有约束力。投标人不接受修正价格的，评标小组应当否决其响应。</w:t>
      </w:r>
    </w:p>
    <w:p w14:paraId="3E92E48B">
      <w:pPr>
        <w:spacing w:line="360" w:lineRule="auto"/>
        <w:ind w:firstLine="420" w:firstLineChars="200"/>
      </w:pPr>
      <w:r>
        <w:rPr>
          <w:rFonts w:hint="eastAsia" w:ascii="宋体" w:hAnsi="宋体"/>
          <w:szCs w:val="21"/>
        </w:rPr>
        <w:t xml:space="preserve">3. </w:t>
      </w:r>
      <w:r>
        <w:rPr>
          <w:rFonts w:hint="eastAsia"/>
        </w:rPr>
        <w:t>投标文件中的大写金额与小写金额不一致的，以大写金额为准。</w:t>
      </w:r>
    </w:p>
    <w:p w14:paraId="2A247B52">
      <w:pPr>
        <w:spacing w:line="360" w:lineRule="auto"/>
        <w:ind w:firstLine="420" w:firstLineChars="200"/>
      </w:pPr>
      <w:r>
        <w:rPr>
          <w:rFonts w:hint="eastAsia"/>
        </w:rPr>
        <w:t>4.总价金额与依据单价计算出的结果不一致的，以单价金额为准修正总价，但单价金额小数点有明显错误的除外。</w:t>
      </w:r>
    </w:p>
    <w:p w14:paraId="35E1AD49">
      <w:pPr>
        <w:spacing w:line="360" w:lineRule="auto"/>
        <w:ind w:firstLine="420" w:firstLineChars="200"/>
      </w:pPr>
      <w:r>
        <w:rPr>
          <w:rFonts w:hint="eastAsia" w:ascii="宋体" w:hAnsi="宋体"/>
          <w:szCs w:val="21"/>
        </w:rPr>
        <w:t>5.</w:t>
      </w:r>
      <w:r>
        <w:rPr>
          <w:rFonts w:hint="eastAsia"/>
        </w:rPr>
        <w:t>含税报价与所报税率计算出的不含税报价不一致的，以含税报价与税率为准，修正不含税报价。</w:t>
      </w:r>
    </w:p>
    <w:p w14:paraId="4DC84718">
      <w:pPr>
        <w:spacing w:line="360" w:lineRule="auto"/>
        <w:ind w:firstLine="420" w:firstLineChars="200"/>
      </w:pPr>
      <w:r>
        <w:rPr>
          <w:rFonts w:hint="eastAsia"/>
        </w:rPr>
        <w:t>6.评标小组对通过符合性审查的投标人按详细评标标准（见附件二）对各投标人进行评分，投标人综合得分为评标小组各成员的算术平均值，得分精确到小数点后两位，第三位小数四舍五入。</w:t>
      </w:r>
    </w:p>
    <w:p w14:paraId="538499A5">
      <w:pPr>
        <w:spacing w:line="360" w:lineRule="auto"/>
        <w:ind w:firstLine="420" w:firstLineChars="200"/>
      </w:pPr>
      <w:r>
        <w:rPr>
          <w:rFonts w:hint="eastAsia" w:ascii="宋体" w:hAnsi="宋体"/>
          <w:szCs w:val="21"/>
        </w:rPr>
        <w:t>7.</w:t>
      </w:r>
      <w:r>
        <w:rPr>
          <w:rFonts w:hint="eastAsia"/>
        </w:rPr>
        <w:t>评标小组按投标人的综合得分由高到低排序后，按综合得分排名最高分为中标候选人。综合得分相等时，以报价（含税）低的优先；报价（含税）也相等的，以技术部分得分高的优先；技术部分得分也相等的，由评标小组采用记名投票的方式，以得票高排前的原则，确定中选候选人的排序。</w:t>
      </w:r>
    </w:p>
    <w:p w14:paraId="6EA093AC">
      <w:pPr>
        <w:spacing w:line="360" w:lineRule="auto"/>
        <w:ind w:firstLine="420" w:firstLineChars="200"/>
      </w:pPr>
      <w:r>
        <w:rPr>
          <w:rFonts w:hint="eastAsia" w:ascii="宋体" w:hAnsi="宋体"/>
          <w:szCs w:val="21"/>
        </w:rPr>
        <w:t>8.</w:t>
      </w:r>
      <w:r>
        <w:rPr>
          <w:rFonts w:hint="eastAsia"/>
        </w:rPr>
        <w:t>评标小组完成评标后，向招标工作领导小组提交评标报告，推荐中标候选人名单。</w:t>
      </w:r>
    </w:p>
    <w:p w14:paraId="43EE8F20">
      <w:pPr>
        <w:spacing w:line="360" w:lineRule="auto"/>
        <w:ind w:firstLine="420" w:firstLineChars="200"/>
      </w:pPr>
      <w:r>
        <w:rPr>
          <w:rFonts w:hint="eastAsia" w:ascii="宋体" w:hAnsi="宋体"/>
          <w:szCs w:val="21"/>
        </w:rPr>
        <w:t>9.</w:t>
      </w:r>
      <w:r>
        <w:rPr>
          <w:rFonts w:hint="eastAsia"/>
        </w:rPr>
        <w:t>如果评标小组发现投标人的报价明显低于其他报价，使得其报价可能低于其个别成本的，有权要求该投标人作书面说明并提供相关证明材料。投标人不能合理说明或不能提供相关证明材料的，评标小组将认定该投标人以低于成本的报价竞标，其投标文件作无效处理。</w:t>
      </w:r>
    </w:p>
    <w:p w14:paraId="39AA0B1A">
      <w:pPr>
        <w:spacing w:line="360" w:lineRule="auto"/>
        <w:rPr>
          <w:b/>
          <w:bCs/>
        </w:rPr>
      </w:pPr>
      <w:r>
        <w:rPr>
          <w:rFonts w:hint="eastAsia"/>
          <w:b/>
          <w:bCs/>
        </w:rPr>
        <w:t>四、定标</w:t>
      </w:r>
    </w:p>
    <w:p w14:paraId="6034A6CF">
      <w:pPr>
        <w:spacing w:line="360" w:lineRule="auto"/>
        <w:ind w:firstLine="420" w:firstLineChars="200"/>
      </w:pPr>
      <w:r>
        <w:rPr>
          <w:rFonts w:hint="eastAsia"/>
        </w:rPr>
        <w:t>招标人依据评标小组的评标结果依法确定两个子项的中标人，并以书面形式分别向中标人发出中标通知书。</w:t>
      </w:r>
    </w:p>
    <w:p w14:paraId="14F3A6D0">
      <w:pPr>
        <w:spacing w:line="360" w:lineRule="auto"/>
        <w:rPr>
          <w:b/>
          <w:bCs/>
        </w:rPr>
      </w:pPr>
      <w:r>
        <w:rPr>
          <w:rFonts w:hint="eastAsia"/>
          <w:b/>
          <w:bCs/>
        </w:rPr>
        <w:t>五、其他</w:t>
      </w:r>
    </w:p>
    <w:p w14:paraId="213257EE">
      <w:pPr>
        <w:spacing w:line="360" w:lineRule="auto"/>
        <w:ind w:firstLine="420" w:firstLineChars="200"/>
      </w:pPr>
      <w:r>
        <w:rPr>
          <w:rFonts w:hint="eastAsia"/>
        </w:rPr>
        <w:t>本项目满足符合性审查的投标人不足 3 家或经评标有效的投标人不足 3 家时为招标失败，招标人重新组织招标。</w:t>
      </w:r>
    </w:p>
    <w:p w14:paraId="5F32BEE8">
      <w:pPr>
        <w:spacing w:line="360" w:lineRule="auto"/>
        <w:rPr>
          <w:b/>
          <w:bCs/>
        </w:rPr>
      </w:pPr>
      <w:r>
        <w:rPr>
          <w:rFonts w:hint="eastAsia"/>
          <w:b/>
          <w:bCs/>
        </w:rPr>
        <w:t>六、异议和投诉</w:t>
      </w:r>
    </w:p>
    <w:p w14:paraId="25D84199">
      <w:pPr>
        <w:spacing w:line="360" w:lineRule="auto"/>
        <w:ind w:firstLine="420" w:firstLineChars="200"/>
      </w:pPr>
      <w:r>
        <w:rPr>
          <w:rFonts w:hint="eastAsia" w:ascii="宋体" w:hAnsi="宋体"/>
          <w:szCs w:val="21"/>
        </w:rPr>
        <w:t>1.</w:t>
      </w:r>
      <w:r>
        <w:rPr>
          <w:rFonts w:hint="eastAsia"/>
        </w:rPr>
        <w:t>如果投标人对此次招标活动有疑异议，可依法向招标人提出。招标人应当依法给与答复，并将结果告知有关当事人。</w:t>
      </w:r>
    </w:p>
    <w:p w14:paraId="0B358CB9">
      <w:pPr>
        <w:spacing w:line="360" w:lineRule="auto"/>
        <w:ind w:firstLine="420" w:firstLineChars="200"/>
      </w:pPr>
      <w:r>
        <w:rPr>
          <w:rFonts w:hint="eastAsia" w:ascii="宋体" w:hAnsi="宋体"/>
          <w:szCs w:val="21"/>
        </w:rPr>
        <w:t>2.</w:t>
      </w:r>
      <w:r>
        <w:rPr>
          <w:rFonts w:hint="eastAsia"/>
        </w:rPr>
        <w:t>投标人对招标人的答复不满意或他们未在规定时间内给予答复的，提出异议的投标人可以在答复期满后10日内，可向有关招标监督管理机构投诉。投诉应当有明确的请求和必要的证明材料。</w:t>
      </w:r>
    </w:p>
    <w:p w14:paraId="140FB035">
      <w:pPr>
        <w:spacing w:line="360" w:lineRule="auto"/>
        <w:ind w:firstLine="420" w:firstLineChars="200"/>
      </w:pPr>
      <w:r>
        <w:rPr>
          <w:rFonts w:hint="eastAsia" w:ascii="宋体" w:hAnsi="宋体"/>
          <w:szCs w:val="21"/>
        </w:rPr>
        <w:t>3.</w:t>
      </w:r>
      <w:r>
        <w:rPr>
          <w:rFonts w:hint="eastAsia"/>
        </w:rPr>
        <w:t>投诉部门：</w:t>
      </w:r>
      <w:r>
        <w:t>广州市番禺区石壁街道钟顺路</w:t>
      </w:r>
      <w:r>
        <w:rPr>
          <w:rFonts w:hint="eastAsia"/>
        </w:rPr>
        <w:t>626号纪委办公室</w:t>
      </w:r>
    </w:p>
    <w:p w14:paraId="3F4C584D">
      <w:pPr>
        <w:spacing w:line="360" w:lineRule="auto"/>
        <w:ind w:firstLine="420" w:firstLineChars="200"/>
      </w:pPr>
      <w:r>
        <w:rPr>
          <w:rFonts w:hint="eastAsia"/>
        </w:rPr>
        <w:t>4.联系电话：</w:t>
      </w:r>
      <w:r>
        <w:t>020-</w:t>
      </w:r>
      <w:r>
        <w:rPr>
          <w:rFonts w:hint="eastAsia"/>
        </w:rPr>
        <w:t>84539889</w:t>
      </w:r>
    </w:p>
    <w:p w14:paraId="66284BA5">
      <w:pPr>
        <w:pStyle w:val="4"/>
        <w:rPr>
          <w:rFonts w:hint="eastAsia"/>
        </w:rPr>
      </w:pPr>
    </w:p>
    <w:p w14:paraId="4FD95C62"/>
    <w:p w14:paraId="326185AE">
      <w:pPr>
        <w:pStyle w:val="2"/>
      </w:pPr>
    </w:p>
    <w:p w14:paraId="1B59FFFE"/>
    <w:p w14:paraId="55BA67B5">
      <w:pPr>
        <w:pStyle w:val="2"/>
      </w:pPr>
    </w:p>
    <w:p w14:paraId="7AD4692D"/>
    <w:p w14:paraId="1CF91C76">
      <w:pPr>
        <w:pStyle w:val="2"/>
      </w:pPr>
    </w:p>
    <w:p w14:paraId="32475F5E">
      <w:pPr>
        <w:pStyle w:val="2"/>
        <w:spacing w:before="0" w:after="0" w:line="240" w:lineRule="auto"/>
      </w:pPr>
    </w:p>
    <w:p w14:paraId="6354C29D"/>
    <w:p w14:paraId="7E31777C">
      <w:pPr>
        <w:pStyle w:val="4"/>
        <w:rPr>
          <w:rFonts w:hint="eastAsia"/>
        </w:rPr>
      </w:pPr>
      <w:r>
        <w:rPr>
          <w:rFonts w:hint="eastAsia"/>
        </w:rPr>
        <w:t>附表1：符合性审查表（注：本表不需要投标人填写）</w:t>
      </w:r>
    </w:p>
    <w:p w14:paraId="42C03481">
      <w:pPr>
        <w:rPr>
          <w:rFonts w:hint="eastAsia" w:ascii="宋体" w:hAnsi="宋体"/>
          <w:szCs w:val="21"/>
        </w:rPr>
      </w:pPr>
    </w:p>
    <w:p w14:paraId="7AEA030F">
      <w:pPr>
        <w:spacing w:after="120"/>
        <w:jc w:val="center"/>
        <w:rPr>
          <w:i/>
          <w:sz w:val="24"/>
          <w:szCs w:val="24"/>
        </w:rPr>
      </w:pPr>
      <w:r>
        <w:rPr>
          <w:rFonts w:hint="eastAsia" w:ascii="宋体" w:hAnsi="宋体"/>
          <w:szCs w:val="21"/>
        </w:rPr>
        <w:tab/>
      </w:r>
      <w:r>
        <w:rPr>
          <w:rFonts w:hint="eastAsia" w:ascii="宋体" w:hAnsi="宋体"/>
          <w:b/>
          <w:bCs/>
          <w:sz w:val="24"/>
          <w:szCs w:val="24"/>
        </w:rPr>
        <w:t>符合性审查</w:t>
      </w:r>
      <w:r>
        <w:rPr>
          <w:rFonts w:hint="eastAsia"/>
          <w:b/>
          <w:bCs/>
          <w:sz w:val="24"/>
          <w:szCs w:val="24"/>
        </w:rPr>
        <w:t>表</w:t>
      </w:r>
    </w:p>
    <w:tbl>
      <w:tblPr>
        <w:tblStyle w:val="22"/>
        <w:tblW w:w="93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8"/>
        <w:gridCol w:w="8269"/>
      </w:tblGrid>
      <w:tr w14:paraId="607A8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048" w:type="dxa"/>
            <w:vAlign w:val="center"/>
          </w:tcPr>
          <w:p w14:paraId="7EFEF740">
            <w:pPr>
              <w:jc w:val="center"/>
              <w:rPr>
                <w:rFonts w:hint="eastAsia" w:ascii="宋体" w:hAnsi="宋体"/>
                <w:szCs w:val="21"/>
              </w:rPr>
            </w:pPr>
            <w:r>
              <w:rPr>
                <w:rFonts w:hint="eastAsia" w:ascii="宋体" w:hAnsi="宋体"/>
                <w:szCs w:val="21"/>
              </w:rPr>
              <w:t>序号</w:t>
            </w:r>
          </w:p>
        </w:tc>
        <w:tc>
          <w:tcPr>
            <w:tcW w:w="8269" w:type="dxa"/>
            <w:vAlign w:val="center"/>
          </w:tcPr>
          <w:p w14:paraId="0EB14DF3">
            <w:pPr>
              <w:jc w:val="center"/>
              <w:rPr>
                <w:szCs w:val="21"/>
              </w:rPr>
            </w:pPr>
            <w:r>
              <w:rPr>
                <w:rFonts w:hint="eastAsia"/>
                <w:szCs w:val="21"/>
              </w:rPr>
              <w:t>评标项目</w:t>
            </w:r>
          </w:p>
        </w:tc>
      </w:tr>
      <w:tr w14:paraId="4B5D2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5AC376C1">
            <w:pPr>
              <w:jc w:val="center"/>
              <w:rPr>
                <w:rFonts w:hint="eastAsia" w:ascii="宋体" w:hAnsi="宋体"/>
                <w:szCs w:val="21"/>
              </w:rPr>
            </w:pPr>
            <w:bookmarkStart w:id="18" w:name="OLE_LINK1" w:colFirst="1" w:colLast="1"/>
            <w:r>
              <w:rPr>
                <w:rFonts w:ascii="宋体" w:hAnsi="宋体"/>
                <w:szCs w:val="21"/>
              </w:rPr>
              <w:t>1</w:t>
            </w:r>
          </w:p>
        </w:tc>
        <w:tc>
          <w:tcPr>
            <w:tcW w:w="8269" w:type="dxa"/>
            <w:vAlign w:val="center"/>
          </w:tcPr>
          <w:p w14:paraId="15A129C3">
            <w:pPr>
              <w:rPr>
                <w:rFonts w:hint="eastAsia" w:ascii="宋体" w:hAnsi="宋体"/>
                <w:szCs w:val="21"/>
              </w:rPr>
            </w:pPr>
            <w:r>
              <w:rPr>
                <w:rFonts w:hint="eastAsia" w:ascii="宋体" w:hAnsi="宋体"/>
                <w:szCs w:val="21"/>
              </w:rPr>
              <w:t>投标人符合合格投标人的基本条件</w:t>
            </w:r>
          </w:p>
        </w:tc>
      </w:tr>
      <w:tr w14:paraId="25919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6C2A98C1">
            <w:pPr>
              <w:jc w:val="center"/>
              <w:rPr>
                <w:rFonts w:hint="eastAsia" w:ascii="宋体" w:hAnsi="宋体"/>
                <w:szCs w:val="21"/>
              </w:rPr>
            </w:pPr>
            <w:r>
              <w:rPr>
                <w:rFonts w:hint="eastAsia" w:ascii="宋体" w:hAnsi="宋体"/>
                <w:szCs w:val="21"/>
              </w:rPr>
              <w:t>2</w:t>
            </w:r>
          </w:p>
        </w:tc>
        <w:tc>
          <w:tcPr>
            <w:tcW w:w="8269" w:type="dxa"/>
            <w:vAlign w:val="center"/>
          </w:tcPr>
          <w:p w14:paraId="649F2ECD">
            <w:pPr>
              <w:rPr>
                <w:rFonts w:hint="eastAsia" w:ascii="宋体" w:hAnsi="宋体"/>
                <w:szCs w:val="21"/>
              </w:rPr>
            </w:pPr>
            <w:r>
              <w:rPr>
                <w:rFonts w:hint="eastAsia" w:ascii="宋体" w:hAnsi="宋体"/>
                <w:szCs w:val="21"/>
              </w:rPr>
              <w:t>投标函及投标有效期符合要求</w:t>
            </w:r>
          </w:p>
        </w:tc>
      </w:tr>
      <w:tr w14:paraId="78B71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19D4C4C7">
            <w:pPr>
              <w:jc w:val="center"/>
              <w:rPr>
                <w:rFonts w:hint="eastAsia" w:ascii="宋体" w:hAnsi="宋体"/>
                <w:szCs w:val="21"/>
              </w:rPr>
            </w:pPr>
            <w:r>
              <w:rPr>
                <w:rFonts w:ascii="宋体" w:hAnsi="宋体"/>
                <w:szCs w:val="21"/>
              </w:rPr>
              <w:t>3</w:t>
            </w:r>
          </w:p>
        </w:tc>
        <w:tc>
          <w:tcPr>
            <w:tcW w:w="8269" w:type="dxa"/>
            <w:vAlign w:val="center"/>
          </w:tcPr>
          <w:p w14:paraId="2BF1E554">
            <w:pPr>
              <w:rPr>
                <w:rFonts w:hint="eastAsia" w:ascii="宋体" w:hAnsi="宋体"/>
                <w:szCs w:val="21"/>
              </w:rPr>
            </w:pPr>
            <w:r>
              <w:rPr>
                <w:rFonts w:hint="eastAsia" w:ascii="宋体" w:hAnsi="宋体"/>
                <w:szCs w:val="21"/>
              </w:rPr>
              <w:t>已提交有效的法定代表人</w:t>
            </w:r>
            <w:r>
              <w:rPr>
                <w:rFonts w:ascii="宋体" w:hAnsi="宋体"/>
                <w:szCs w:val="21"/>
              </w:rPr>
              <w:t>/负责人授权委托书（投标签字代表为授权代表时）</w:t>
            </w:r>
          </w:p>
        </w:tc>
      </w:tr>
      <w:tr w14:paraId="7E187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5D74C41C">
            <w:pPr>
              <w:jc w:val="center"/>
              <w:rPr>
                <w:rFonts w:hint="eastAsia" w:ascii="宋体" w:hAnsi="宋体"/>
                <w:szCs w:val="21"/>
              </w:rPr>
            </w:pPr>
            <w:r>
              <w:rPr>
                <w:rFonts w:ascii="宋体" w:hAnsi="宋体"/>
                <w:szCs w:val="21"/>
              </w:rPr>
              <w:t>4</w:t>
            </w:r>
          </w:p>
        </w:tc>
        <w:tc>
          <w:tcPr>
            <w:tcW w:w="8269" w:type="dxa"/>
            <w:vAlign w:val="center"/>
          </w:tcPr>
          <w:p w14:paraId="41901EAD">
            <w:pPr>
              <w:rPr>
                <w:rFonts w:hint="eastAsia" w:ascii="宋体" w:hAnsi="宋体"/>
                <w:szCs w:val="21"/>
              </w:rPr>
            </w:pPr>
            <w:r>
              <w:rPr>
                <w:rFonts w:hint="eastAsia" w:ascii="宋体" w:hAnsi="宋体"/>
                <w:szCs w:val="21"/>
              </w:rPr>
              <w:t>投标保证金符合要求</w:t>
            </w:r>
          </w:p>
        </w:tc>
      </w:tr>
      <w:tr w14:paraId="3A72F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22D00F18">
            <w:pPr>
              <w:jc w:val="center"/>
              <w:rPr>
                <w:rFonts w:hint="eastAsia" w:ascii="宋体" w:hAnsi="宋体"/>
                <w:szCs w:val="21"/>
              </w:rPr>
            </w:pPr>
            <w:r>
              <w:rPr>
                <w:rFonts w:ascii="宋体" w:hAnsi="宋体"/>
                <w:szCs w:val="21"/>
              </w:rPr>
              <w:t>5</w:t>
            </w:r>
          </w:p>
        </w:tc>
        <w:tc>
          <w:tcPr>
            <w:tcW w:w="8269" w:type="dxa"/>
            <w:vAlign w:val="center"/>
          </w:tcPr>
          <w:p w14:paraId="02C1F717">
            <w:pPr>
              <w:rPr>
                <w:rFonts w:hint="eastAsia" w:ascii="宋体" w:hAnsi="宋体"/>
                <w:szCs w:val="21"/>
              </w:rPr>
            </w:pPr>
            <w:r>
              <w:rPr>
                <w:rFonts w:hint="eastAsia" w:ascii="宋体" w:hAnsi="宋体"/>
                <w:szCs w:val="21"/>
              </w:rPr>
              <w:t>投标报价无重大漏项或重大不合理，且不高于最高限价</w:t>
            </w:r>
          </w:p>
        </w:tc>
      </w:tr>
      <w:tr w14:paraId="476CC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3A5BCFF2">
            <w:pPr>
              <w:jc w:val="center"/>
              <w:rPr>
                <w:rFonts w:hint="eastAsia" w:ascii="宋体" w:hAnsi="宋体"/>
                <w:szCs w:val="21"/>
              </w:rPr>
            </w:pPr>
            <w:r>
              <w:rPr>
                <w:rFonts w:ascii="宋体" w:hAnsi="宋体"/>
                <w:szCs w:val="21"/>
              </w:rPr>
              <w:t>6</w:t>
            </w:r>
          </w:p>
        </w:tc>
        <w:tc>
          <w:tcPr>
            <w:tcW w:w="8269" w:type="dxa"/>
            <w:vAlign w:val="center"/>
          </w:tcPr>
          <w:p w14:paraId="4FC84AFB">
            <w:pPr>
              <w:rPr>
                <w:rFonts w:hint="eastAsia" w:ascii="宋体" w:hAnsi="宋体"/>
                <w:szCs w:val="21"/>
              </w:rPr>
            </w:pPr>
            <w:r>
              <w:rPr>
                <w:rFonts w:hint="eastAsia" w:ascii="宋体" w:hAnsi="宋体"/>
                <w:szCs w:val="21"/>
              </w:rPr>
              <w:t>投标人未递交两份或多份内容不同的投标文件，未在一份投标文件中对同一招标货物有两个或多个报价</w:t>
            </w:r>
          </w:p>
        </w:tc>
      </w:tr>
      <w:tr w14:paraId="6FC69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3F067BAA">
            <w:pPr>
              <w:jc w:val="center"/>
              <w:rPr>
                <w:rFonts w:hint="eastAsia" w:ascii="宋体" w:hAnsi="宋体"/>
                <w:szCs w:val="21"/>
              </w:rPr>
            </w:pPr>
            <w:r>
              <w:rPr>
                <w:rFonts w:ascii="宋体" w:hAnsi="宋体"/>
                <w:szCs w:val="21"/>
              </w:rPr>
              <w:t>7</w:t>
            </w:r>
          </w:p>
        </w:tc>
        <w:tc>
          <w:tcPr>
            <w:tcW w:w="8269" w:type="dxa"/>
            <w:vAlign w:val="center"/>
          </w:tcPr>
          <w:p w14:paraId="755006F6">
            <w:pPr>
              <w:rPr>
                <w:rFonts w:hint="eastAsia" w:ascii="宋体" w:hAnsi="宋体"/>
                <w:szCs w:val="21"/>
              </w:rPr>
            </w:pPr>
            <w:r>
              <w:rPr>
                <w:rFonts w:hint="eastAsia" w:ascii="宋体" w:hAnsi="宋体"/>
                <w:szCs w:val="21"/>
              </w:rPr>
              <w:t>单位负责人为同一人或者存在控股、管理关系的不同单位，不得同时参加本项目投标</w:t>
            </w:r>
          </w:p>
        </w:tc>
      </w:tr>
      <w:tr w14:paraId="704AA4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75376F0B">
            <w:pPr>
              <w:jc w:val="center"/>
              <w:rPr>
                <w:rFonts w:hint="eastAsia" w:ascii="宋体" w:hAnsi="宋体"/>
                <w:szCs w:val="21"/>
              </w:rPr>
            </w:pPr>
            <w:r>
              <w:rPr>
                <w:rFonts w:ascii="宋体" w:hAnsi="宋体"/>
                <w:szCs w:val="21"/>
              </w:rPr>
              <w:t>8</w:t>
            </w:r>
          </w:p>
        </w:tc>
        <w:tc>
          <w:tcPr>
            <w:tcW w:w="8269" w:type="dxa"/>
            <w:vAlign w:val="center"/>
          </w:tcPr>
          <w:p w14:paraId="7CE92880">
            <w:pPr>
              <w:rPr>
                <w:rFonts w:hint="eastAsia" w:ascii="宋体" w:hAnsi="宋体"/>
                <w:szCs w:val="21"/>
              </w:rPr>
            </w:pPr>
            <w:r>
              <w:rPr>
                <w:rFonts w:hint="eastAsia" w:ascii="宋体" w:hAnsi="宋体"/>
                <w:szCs w:val="21"/>
              </w:rPr>
              <w:t>加星号（★）条款满足要求</w:t>
            </w:r>
          </w:p>
        </w:tc>
      </w:tr>
      <w:tr w14:paraId="7B9D1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6FE980A0">
            <w:pPr>
              <w:jc w:val="center"/>
              <w:rPr>
                <w:rFonts w:hint="eastAsia" w:ascii="宋体" w:hAnsi="宋体"/>
                <w:szCs w:val="21"/>
              </w:rPr>
            </w:pPr>
            <w:r>
              <w:rPr>
                <w:rFonts w:ascii="宋体" w:hAnsi="宋体"/>
                <w:szCs w:val="21"/>
              </w:rPr>
              <w:t>9</w:t>
            </w:r>
          </w:p>
        </w:tc>
        <w:tc>
          <w:tcPr>
            <w:tcW w:w="8269" w:type="dxa"/>
            <w:vAlign w:val="center"/>
          </w:tcPr>
          <w:p w14:paraId="6FC6A6FC">
            <w:pPr>
              <w:rPr>
                <w:rFonts w:hint="eastAsia" w:ascii="宋体" w:hAnsi="宋体"/>
                <w:szCs w:val="21"/>
              </w:rPr>
            </w:pPr>
            <w:r>
              <w:rPr>
                <w:rFonts w:hint="eastAsia" w:ascii="宋体" w:hAnsi="宋体"/>
                <w:szCs w:val="21"/>
              </w:rPr>
              <w:t>投标文件没有招标人不能接受的附加条件</w:t>
            </w:r>
          </w:p>
        </w:tc>
      </w:tr>
      <w:tr w14:paraId="6CC36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vAlign w:val="center"/>
          </w:tcPr>
          <w:p w14:paraId="38B53D07">
            <w:pPr>
              <w:jc w:val="center"/>
              <w:rPr>
                <w:rFonts w:hint="eastAsia" w:ascii="宋体" w:hAnsi="宋体"/>
                <w:szCs w:val="21"/>
              </w:rPr>
            </w:pPr>
            <w:r>
              <w:rPr>
                <w:rFonts w:hint="eastAsia" w:ascii="宋体" w:hAnsi="宋体"/>
                <w:szCs w:val="21"/>
              </w:rPr>
              <w:t>10</w:t>
            </w:r>
          </w:p>
        </w:tc>
        <w:tc>
          <w:tcPr>
            <w:tcW w:w="8269" w:type="dxa"/>
            <w:vAlign w:val="center"/>
          </w:tcPr>
          <w:p w14:paraId="0A5EB1C3">
            <w:pPr>
              <w:rPr>
                <w:rFonts w:hint="eastAsia" w:ascii="宋体" w:hAnsi="宋体"/>
                <w:szCs w:val="21"/>
              </w:rPr>
            </w:pPr>
            <w:r>
              <w:rPr>
                <w:rFonts w:hint="eastAsia" w:ascii="宋体" w:hAnsi="宋体"/>
                <w:szCs w:val="21"/>
              </w:rPr>
              <w:t>无法规明确规定须废标的或招标文件禁止的情形</w:t>
            </w:r>
          </w:p>
        </w:tc>
      </w:tr>
      <w:bookmarkEnd w:id="18"/>
    </w:tbl>
    <w:p w14:paraId="2EE7EC23">
      <w:pPr>
        <w:ind w:left="3360" w:firstLine="420"/>
        <w:rPr>
          <w:rFonts w:hint="eastAsia" w:ascii="宋体" w:hAnsi="宋体"/>
          <w:szCs w:val="21"/>
        </w:rPr>
      </w:pPr>
    </w:p>
    <w:p w14:paraId="4D27C63E">
      <w:pPr>
        <w:widowControl/>
        <w:jc w:val="left"/>
        <w:rPr>
          <w:rFonts w:hint="eastAsia" w:ascii="宋体" w:hAnsi="宋体"/>
          <w:szCs w:val="21"/>
        </w:rPr>
      </w:pPr>
      <w:r>
        <w:rPr>
          <w:rFonts w:ascii="宋体" w:hAnsi="宋体"/>
          <w:szCs w:val="21"/>
        </w:rPr>
        <w:br w:type="page"/>
      </w:r>
    </w:p>
    <w:p w14:paraId="16AF8B9D">
      <w:pPr>
        <w:pStyle w:val="4"/>
        <w:rPr>
          <w:rFonts w:hint="eastAsia"/>
        </w:rPr>
      </w:pPr>
      <w:r>
        <w:rPr>
          <w:rFonts w:hint="eastAsia"/>
        </w:rPr>
        <w:t>附表2：</w:t>
      </w:r>
      <w:bookmarkStart w:id="19" w:name="_Hlk202254396"/>
      <w:r>
        <w:rPr>
          <w:rFonts w:hint="eastAsia"/>
        </w:rPr>
        <w:t>详细评标表</w:t>
      </w:r>
      <w:bookmarkEnd w:id="19"/>
      <w:r>
        <w:rPr>
          <w:rFonts w:hint="eastAsia"/>
        </w:rPr>
        <w:t>（注：本表不需要投标人填写）</w:t>
      </w:r>
    </w:p>
    <w:p w14:paraId="1E9D99D7">
      <w:pPr>
        <w:spacing w:after="120"/>
        <w:jc w:val="center"/>
        <w:rPr>
          <w:b/>
          <w:sz w:val="28"/>
          <w:szCs w:val="28"/>
        </w:rPr>
      </w:pPr>
      <w:r>
        <w:rPr>
          <w:rFonts w:hint="eastAsia"/>
          <w:b/>
          <w:sz w:val="28"/>
          <w:szCs w:val="28"/>
        </w:rPr>
        <w:t>详细评标表</w:t>
      </w:r>
    </w:p>
    <w:tbl>
      <w:tblPr>
        <w:tblStyle w:val="22"/>
        <w:tblpPr w:leftFromText="180" w:rightFromText="180" w:vertAnchor="text" w:horzAnchor="margin" w:tblpXSpec="center" w:tblpY="102"/>
        <w:tblW w:w="94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1701"/>
        <w:gridCol w:w="5781"/>
        <w:gridCol w:w="1134"/>
      </w:tblGrid>
      <w:tr w14:paraId="4AC43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trPr>
        <w:tc>
          <w:tcPr>
            <w:tcW w:w="846" w:type="dxa"/>
            <w:vAlign w:val="center"/>
          </w:tcPr>
          <w:p w14:paraId="3FA98A5A">
            <w:pPr>
              <w:jc w:val="center"/>
              <w:rPr>
                <w:szCs w:val="21"/>
              </w:rPr>
            </w:pPr>
            <w:r>
              <w:rPr>
                <w:rFonts w:hint="eastAsia"/>
                <w:szCs w:val="21"/>
              </w:rPr>
              <w:t>序号</w:t>
            </w:r>
          </w:p>
        </w:tc>
        <w:tc>
          <w:tcPr>
            <w:tcW w:w="1701" w:type="dxa"/>
            <w:vAlign w:val="center"/>
          </w:tcPr>
          <w:p w14:paraId="0007A90F">
            <w:pPr>
              <w:jc w:val="center"/>
              <w:rPr>
                <w:szCs w:val="21"/>
              </w:rPr>
            </w:pPr>
            <w:r>
              <w:rPr>
                <w:rFonts w:hint="eastAsia"/>
                <w:szCs w:val="21"/>
              </w:rPr>
              <w:t>评标项目</w:t>
            </w:r>
          </w:p>
        </w:tc>
        <w:tc>
          <w:tcPr>
            <w:tcW w:w="5781" w:type="dxa"/>
            <w:vAlign w:val="center"/>
          </w:tcPr>
          <w:p w14:paraId="6657C684">
            <w:pPr>
              <w:jc w:val="center"/>
              <w:rPr>
                <w:szCs w:val="21"/>
              </w:rPr>
            </w:pPr>
            <w:r>
              <w:rPr>
                <w:rFonts w:hint="eastAsia"/>
                <w:szCs w:val="21"/>
              </w:rPr>
              <w:t>评议内容</w:t>
            </w:r>
          </w:p>
        </w:tc>
        <w:tc>
          <w:tcPr>
            <w:tcW w:w="1134" w:type="dxa"/>
            <w:vAlign w:val="center"/>
          </w:tcPr>
          <w:p w14:paraId="6534965A">
            <w:pPr>
              <w:jc w:val="center"/>
              <w:rPr>
                <w:szCs w:val="21"/>
              </w:rPr>
            </w:pPr>
            <w:r>
              <w:rPr>
                <w:rFonts w:hint="eastAsia"/>
                <w:szCs w:val="21"/>
              </w:rPr>
              <w:t>分数</w:t>
            </w:r>
          </w:p>
        </w:tc>
      </w:tr>
      <w:tr w14:paraId="18067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Align w:val="center"/>
          </w:tcPr>
          <w:p w14:paraId="599D88DF">
            <w:pPr>
              <w:tabs>
                <w:tab w:val="left" w:pos="420"/>
              </w:tabs>
              <w:jc w:val="center"/>
              <w:rPr>
                <w:rFonts w:hint="eastAsia" w:ascii="宋体" w:hAnsi="宋体"/>
                <w:szCs w:val="21"/>
              </w:rPr>
            </w:pPr>
            <w:r>
              <w:rPr>
                <w:rFonts w:hint="eastAsia" w:ascii="宋体" w:hAnsi="宋体"/>
                <w:szCs w:val="21"/>
              </w:rPr>
              <w:t>价格分</w:t>
            </w:r>
          </w:p>
        </w:tc>
        <w:tc>
          <w:tcPr>
            <w:tcW w:w="1701" w:type="dxa"/>
            <w:vAlign w:val="center"/>
          </w:tcPr>
          <w:p w14:paraId="56669307">
            <w:pPr>
              <w:jc w:val="center"/>
              <w:rPr>
                <w:b/>
                <w:bCs/>
                <w:szCs w:val="21"/>
              </w:rPr>
            </w:pPr>
            <w:r>
              <w:rPr>
                <w:rFonts w:hint="eastAsia" w:asciiTheme="minorEastAsia" w:hAnsiTheme="minorEastAsia" w:eastAsiaTheme="minorEastAsia" w:cstheme="minorEastAsia"/>
                <w:szCs w:val="21"/>
              </w:rPr>
              <w:t>投标报价</w:t>
            </w:r>
          </w:p>
        </w:tc>
        <w:tc>
          <w:tcPr>
            <w:tcW w:w="5781" w:type="dxa"/>
            <w:vAlign w:val="center"/>
          </w:tcPr>
          <w:p w14:paraId="124C0BAF">
            <w:pPr>
              <w:autoSpaceDE w:val="0"/>
              <w:autoSpaceDN w:val="0"/>
              <w:spacing w:line="28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价格分采用中间价法计算：</w:t>
            </w:r>
          </w:p>
          <w:p w14:paraId="30EF03F5">
            <w:pPr>
              <w:numPr>
                <w:ilvl w:val="0"/>
                <w:numId w:val="4"/>
              </w:numPr>
              <w:autoSpaceDE w:val="0"/>
              <w:autoSpaceDN w:val="0"/>
              <w:spacing w:line="28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去掉所有投标价中的最高价和最低价，以剩余投标报价的算数平均数为评标基准价；</w:t>
            </w:r>
          </w:p>
          <w:p w14:paraId="10A55EB6">
            <w:pPr>
              <w:numPr>
                <w:ilvl w:val="0"/>
                <w:numId w:val="4"/>
              </w:numPr>
              <w:autoSpaceDE w:val="0"/>
              <w:autoSpaceDN w:val="0"/>
              <w:spacing w:line="28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投标报价等于评标基准价得满分30分，其他投标价格高于评标基准价的每偏离1%扣1分，低于评标基准价每偏离1%扣0.5分。计算步骤如下：</w:t>
            </w:r>
          </w:p>
          <w:p w14:paraId="725DBE59">
            <w:pPr>
              <w:autoSpaceDE w:val="0"/>
              <w:autoSpaceDN w:val="0"/>
              <w:spacing w:line="28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（1）计算报价偏差率=（投标报价-评标基准价）/评标基准价</w:t>
            </w:r>
          </w:p>
          <w:p w14:paraId="299A664D">
            <w:pPr>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（2）报价得分=30-（|报价偏差率|/1%*1）或30-（|报价偏差率|/1%*0.5）</w:t>
            </w:r>
          </w:p>
          <w:p w14:paraId="3B1248D0">
            <w:pPr>
              <w:jc w:val="left"/>
            </w:pPr>
            <w:r>
              <w:rPr>
                <w:rFonts w:hint="eastAsia" w:asciiTheme="minorEastAsia" w:hAnsiTheme="minorEastAsia" w:eastAsiaTheme="minorEastAsia" w:cstheme="minorEastAsia"/>
                <w:szCs w:val="21"/>
              </w:rPr>
              <w:t>（3）报价得分最低为0分</w:t>
            </w:r>
          </w:p>
        </w:tc>
        <w:tc>
          <w:tcPr>
            <w:tcW w:w="1134" w:type="dxa"/>
            <w:vAlign w:val="center"/>
          </w:tcPr>
          <w:p w14:paraId="19494F5D">
            <w:pPr>
              <w:jc w:val="center"/>
              <w:rPr>
                <w:szCs w:val="21"/>
              </w:rPr>
            </w:pPr>
            <w:r>
              <w:rPr>
                <w:rFonts w:hint="eastAsia" w:ascii="宋体" w:hAnsi="宋体"/>
                <w:bCs/>
                <w:szCs w:val="21"/>
              </w:rPr>
              <w:t>30</w:t>
            </w:r>
          </w:p>
        </w:tc>
      </w:tr>
      <w:tr w14:paraId="2ECFD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restart"/>
            <w:vAlign w:val="center"/>
          </w:tcPr>
          <w:p w14:paraId="33F23056">
            <w:pPr>
              <w:tabs>
                <w:tab w:val="left" w:pos="420"/>
              </w:tabs>
              <w:jc w:val="center"/>
              <w:rPr>
                <w:rFonts w:hint="eastAsia" w:ascii="宋体" w:hAnsi="宋体"/>
                <w:szCs w:val="21"/>
              </w:rPr>
            </w:pPr>
            <w:r>
              <w:rPr>
                <w:rFonts w:hint="eastAsia" w:ascii="宋体" w:hAnsi="宋体"/>
                <w:szCs w:val="21"/>
              </w:rPr>
              <w:t>商务分</w:t>
            </w:r>
          </w:p>
        </w:tc>
        <w:tc>
          <w:tcPr>
            <w:tcW w:w="1701" w:type="dxa"/>
            <w:vAlign w:val="center"/>
          </w:tcPr>
          <w:p w14:paraId="0339D7A7">
            <w:pPr>
              <w:jc w:val="center"/>
            </w:pPr>
            <w:r>
              <w:rPr>
                <w:rFonts w:hint="eastAsia"/>
              </w:rPr>
              <w:t>企业管理体系认证</w:t>
            </w:r>
          </w:p>
        </w:tc>
        <w:tc>
          <w:tcPr>
            <w:tcW w:w="5781" w:type="dxa"/>
            <w:vAlign w:val="center"/>
          </w:tcPr>
          <w:p w14:paraId="0BA555FD">
            <w:pPr>
              <w:rPr>
                <w:rFonts w:hint="eastAsia" w:ascii="宋体" w:hAnsi="宋体"/>
                <w:szCs w:val="21"/>
              </w:rPr>
            </w:pPr>
            <w:r>
              <w:rPr>
                <w:rFonts w:hint="eastAsia" w:ascii="宋体" w:hAnsi="宋体"/>
                <w:szCs w:val="21"/>
              </w:rPr>
              <w:t>制造商具有质量管理体系认证证书、环境管理体系认证证书、职业健康安全管理体系认证证书，认证范围包含“办公家具产品的设计开发、生产、销售及售后服务”；</w:t>
            </w:r>
          </w:p>
          <w:p w14:paraId="19C81391">
            <w:pPr>
              <w:rPr>
                <w:rFonts w:hint="eastAsia" w:ascii="宋体" w:hAnsi="宋体"/>
                <w:szCs w:val="21"/>
              </w:rPr>
            </w:pPr>
            <w:r>
              <w:rPr>
                <w:rFonts w:hint="eastAsia" w:ascii="宋体" w:hAnsi="宋体"/>
                <w:szCs w:val="21"/>
              </w:rPr>
              <w:t>注：须提供有效的认证证书复印件。</w:t>
            </w:r>
          </w:p>
        </w:tc>
        <w:tc>
          <w:tcPr>
            <w:tcW w:w="1134" w:type="dxa"/>
            <w:vMerge w:val="restart"/>
            <w:vAlign w:val="center"/>
          </w:tcPr>
          <w:p w14:paraId="056BB1CB">
            <w:pPr>
              <w:jc w:val="center"/>
              <w:rPr>
                <w:rFonts w:hint="eastAsia" w:ascii="宋体" w:hAnsi="宋体"/>
                <w:bCs/>
              </w:rPr>
            </w:pPr>
            <w:r>
              <w:rPr>
                <w:rFonts w:hint="eastAsia" w:ascii="宋体" w:hAnsi="宋体"/>
                <w:bCs/>
              </w:rPr>
              <w:t>15</w:t>
            </w:r>
          </w:p>
        </w:tc>
      </w:tr>
      <w:tr w14:paraId="780FC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70978AFD">
            <w:pPr>
              <w:tabs>
                <w:tab w:val="left" w:pos="420"/>
              </w:tabs>
              <w:jc w:val="center"/>
              <w:rPr>
                <w:rFonts w:hint="eastAsia" w:ascii="宋体" w:hAnsi="宋体"/>
                <w:szCs w:val="21"/>
              </w:rPr>
            </w:pPr>
          </w:p>
        </w:tc>
        <w:tc>
          <w:tcPr>
            <w:tcW w:w="1701" w:type="dxa"/>
            <w:vAlign w:val="center"/>
          </w:tcPr>
          <w:p w14:paraId="23389572">
            <w:pPr>
              <w:jc w:val="center"/>
            </w:pPr>
            <w:r>
              <w:rPr>
                <w:rFonts w:hint="eastAsia" w:ascii="宋体" w:hAnsi="宋体" w:cs="宋体"/>
                <w:szCs w:val="21"/>
              </w:rPr>
              <w:t>类似业绩</w:t>
            </w:r>
          </w:p>
        </w:tc>
        <w:tc>
          <w:tcPr>
            <w:tcW w:w="5781" w:type="dxa"/>
            <w:vAlign w:val="center"/>
          </w:tcPr>
          <w:p w14:paraId="1436CEB8">
            <w:pPr>
              <w:rPr>
                <w:rFonts w:hint="eastAsia" w:ascii="宋体" w:hAnsi="宋体"/>
                <w:szCs w:val="21"/>
              </w:rPr>
            </w:pPr>
            <w:r>
              <w:rPr>
                <w:rFonts w:hint="eastAsia" w:ascii="宋体" w:hAnsi="宋体"/>
                <w:szCs w:val="21"/>
              </w:rPr>
              <w:t>投标人自2023年1月1日至今（以合同签订时间为准）完成的家具采购、安装项目类业绩。提供合同关键页（至少能显示货物名称、合同金额、签订时间等评标信息）扫描件。</w:t>
            </w:r>
          </w:p>
        </w:tc>
        <w:tc>
          <w:tcPr>
            <w:tcW w:w="1134" w:type="dxa"/>
            <w:vMerge w:val="continue"/>
            <w:vAlign w:val="center"/>
          </w:tcPr>
          <w:p w14:paraId="1D10C108">
            <w:pPr>
              <w:jc w:val="center"/>
              <w:rPr>
                <w:rFonts w:hint="eastAsia" w:ascii="宋体" w:hAnsi="宋体" w:cs="宋体"/>
                <w:szCs w:val="21"/>
              </w:rPr>
            </w:pPr>
          </w:p>
        </w:tc>
      </w:tr>
      <w:tr w14:paraId="220BC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6B31E0B5">
            <w:pPr>
              <w:tabs>
                <w:tab w:val="left" w:pos="420"/>
              </w:tabs>
              <w:jc w:val="center"/>
              <w:rPr>
                <w:rFonts w:hint="eastAsia" w:ascii="宋体" w:hAnsi="宋体"/>
                <w:szCs w:val="21"/>
              </w:rPr>
            </w:pPr>
          </w:p>
        </w:tc>
        <w:tc>
          <w:tcPr>
            <w:tcW w:w="1701" w:type="dxa"/>
            <w:vAlign w:val="center"/>
          </w:tcPr>
          <w:p w14:paraId="5E5C6B91">
            <w:pPr>
              <w:jc w:val="center"/>
            </w:pPr>
            <w:r>
              <w:rPr>
                <w:rFonts w:hint="eastAsia" w:ascii="宋体" w:hAnsi="宋体" w:cs="宋体"/>
                <w:szCs w:val="21"/>
              </w:rPr>
              <w:t>售后服务</w:t>
            </w:r>
          </w:p>
        </w:tc>
        <w:tc>
          <w:tcPr>
            <w:tcW w:w="5781" w:type="dxa"/>
            <w:vAlign w:val="center"/>
          </w:tcPr>
          <w:p w14:paraId="297544E3">
            <w:pPr>
              <w:rPr>
                <w:rFonts w:hint="eastAsia" w:ascii="宋体" w:hAnsi="宋体"/>
                <w:szCs w:val="21"/>
              </w:rPr>
            </w:pPr>
            <w:r>
              <w:rPr>
                <w:rFonts w:hint="eastAsia" w:ascii="宋体" w:hAnsi="宋体"/>
                <w:szCs w:val="21"/>
              </w:rPr>
              <w:t>对比投标单位提供的售后服务承诺，包括维修范围、保修期、响应速度，服务指标等。</w:t>
            </w:r>
          </w:p>
        </w:tc>
        <w:tc>
          <w:tcPr>
            <w:tcW w:w="1134" w:type="dxa"/>
            <w:vMerge w:val="continue"/>
            <w:vAlign w:val="center"/>
          </w:tcPr>
          <w:p w14:paraId="32329361">
            <w:pPr>
              <w:jc w:val="center"/>
              <w:rPr>
                <w:rFonts w:hint="eastAsia" w:ascii="宋体" w:hAnsi="宋体" w:cs="宋体"/>
                <w:szCs w:val="21"/>
              </w:rPr>
            </w:pPr>
          </w:p>
        </w:tc>
      </w:tr>
      <w:tr w14:paraId="351AC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restart"/>
            <w:vAlign w:val="center"/>
          </w:tcPr>
          <w:p w14:paraId="1F9D375B">
            <w:pPr>
              <w:tabs>
                <w:tab w:val="left" w:pos="420"/>
              </w:tabs>
              <w:jc w:val="center"/>
              <w:rPr>
                <w:rFonts w:hint="eastAsia" w:ascii="宋体" w:hAnsi="宋体"/>
                <w:szCs w:val="21"/>
              </w:rPr>
            </w:pPr>
            <w:r>
              <w:rPr>
                <w:rFonts w:hint="eastAsia" w:ascii="宋体" w:hAnsi="宋体"/>
                <w:szCs w:val="21"/>
              </w:rPr>
              <w:t>技术分</w:t>
            </w:r>
          </w:p>
          <w:p w14:paraId="773D63F7">
            <w:pPr>
              <w:tabs>
                <w:tab w:val="left" w:pos="420"/>
              </w:tabs>
              <w:jc w:val="center"/>
              <w:rPr>
                <w:rFonts w:hint="eastAsia" w:ascii="宋体" w:hAnsi="宋体"/>
                <w:szCs w:val="21"/>
              </w:rPr>
            </w:pPr>
          </w:p>
        </w:tc>
        <w:tc>
          <w:tcPr>
            <w:tcW w:w="1701" w:type="dxa"/>
            <w:vAlign w:val="center"/>
          </w:tcPr>
          <w:p w14:paraId="3192B53C">
            <w:pPr>
              <w:jc w:val="center"/>
            </w:pPr>
            <w:r>
              <w:rPr>
                <w:rFonts w:hint="eastAsia"/>
              </w:rPr>
              <w:t>技术规格偏离情况</w:t>
            </w:r>
          </w:p>
        </w:tc>
        <w:tc>
          <w:tcPr>
            <w:tcW w:w="5781" w:type="dxa"/>
            <w:vAlign w:val="center"/>
          </w:tcPr>
          <w:p w14:paraId="038D9E0F">
            <w:pPr>
              <w:rPr>
                <w:rFonts w:hint="eastAsia" w:ascii="宋体" w:hAnsi="宋体"/>
                <w:szCs w:val="21"/>
              </w:rPr>
            </w:pPr>
            <w:r>
              <w:rPr>
                <w:rFonts w:hint="eastAsia" w:ascii="宋体" w:hAnsi="宋体"/>
                <w:szCs w:val="21"/>
              </w:rPr>
              <w:t>根据《技术条款响应表》技术需求参数响应情况进行打分，各项技术参数指标及要求全部满足的得满分。</w:t>
            </w:r>
          </w:p>
        </w:tc>
        <w:tc>
          <w:tcPr>
            <w:tcW w:w="1134" w:type="dxa"/>
            <w:vMerge w:val="restart"/>
            <w:vAlign w:val="center"/>
          </w:tcPr>
          <w:p w14:paraId="55229355">
            <w:pPr>
              <w:jc w:val="center"/>
              <w:rPr>
                <w:rFonts w:hint="eastAsia" w:ascii="宋体" w:hAnsi="宋体"/>
                <w:bCs/>
              </w:rPr>
            </w:pPr>
            <w:r>
              <w:rPr>
                <w:rFonts w:hint="eastAsia" w:ascii="宋体" w:hAnsi="宋体"/>
                <w:bCs/>
              </w:rPr>
              <w:t>55</w:t>
            </w:r>
          </w:p>
        </w:tc>
      </w:tr>
      <w:tr w14:paraId="7DBF6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5F98D94F">
            <w:pPr>
              <w:tabs>
                <w:tab w:val="left" w:pos="420"/>
              </w:tabs>
              <w:jc w:val="center"/>
              <w:rPr>
                <w:rFonts w:hint="eastAsia" w:ascii="宋体" w:hAnsi="宋体"/>
                <w:szCs w:val="21"/>
              </w:rPr>
            </w:pPr>
          </w:p>
        </w:tc>
        <w:tc>
          <w:tcPr>
            <w:tcW w:w="1701" w:type="dxa"/>
            <w:vAlign w:val="center"/>
          </w:tcPr>
          <w:p w14:paraId="4CD0FD73">
            <w:pPr>
              <w:jc w:val="center"/>
              <w:rPr>
                <w:rFonts w:hint="eastAsia"/>
              </w:rPr>
            </w:pPr>
            <w:r>
              <w:rPr>
                <w:rFonts w:hint="eastAsia" w:ascii="宋体" w:hAnsi="宋体"/>
                <w:szCs w:val="24"/>
              </w:rPr>
              <w:t>重要技术条款响应程度</w:t>
            </w:r>
          </w:p>
        </w:tc>
        <w:tc>
          <w:tcPr>
            <w:tcW w:w="5781" w:type="dxa"/>
            <w:vAlign w:val="center"/>
          </w:tcPr>
          <w:p w14:paraId="0B8CDBA2">
            <w:pPr>
              <w:rPr>
                <w:rFonts w:hint="eastAsia" w:ascii="宋体" w:hAnsi="宋体"/>
                <w:szCs w:val="21"/>
              </w:rPr>
            </w:pPr>
            <w:r>
              <w:rPr>
                <w:rFonts w:hint="eastAsia" w:ascii="宋体" w:hAnsi="宋体"/>
                <w:szCs w:val="21"/>
              </w:rPr>
              <w:t>根据</w:t>
            </w:r>
            <w:r>
              <w:rPr>
                <w:rFonts w:hint="eastAsia" w:ascii="宋体" w:hAnsi="宋体"/>
                <w:szCs w:val="24"/>
              </w:rPr>
              <w:t>采购项目技术要求”的带“▲”</w:t>
            </w:r>
            <w:r>
              <w:rPr>
                <w:rFonts w:hint="eastAsia" w:ascii="宋体" w:hAnsi="宋体"/>
                <w:szCs w:val="21"/>
              </w:rPr>
              <w:t>参数响应情况进行打分，各项技术参数指标及要求全部满足的得满分。</w:t>
            </w:r>
          </w:p>
        </w:tc>
        <w:tc>
          <w:tcPr>
            <w:tcW w:w="1134" w:type="dxa"/>
            <w:vMerge w:val="continue"/>
            <w:vAlign w:val="center"/>
          </w:tcPr>
          <w:p w14:paraId="4A23CF8E">
            <w:pPr>
              <w:jc w:val="center"/>
              <w:rPr>
                <w:rFonts w:hint="eastAsia" w:ascii="宋体" w:hAnsi="宋体"/>
                <w:bCs/>
              </w:rPr>
            </w:pPr>
          </w:p>
        </w:tc>
      </w:tr>
      <w:tr w14:paraId="4BF89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3272E5C2">
            <w:pPr>
              <w:tabs>
                <w:tab w:val="left" w:pos="420"/>
              </w:tabs>
              <w:jc w:val="center"/>
              <w:rPr>
                <w:rFonts w:hint="eastAsia" w:ascii="宋体" w:hAnsi="宋体"/>
                <w:szCs w:val="21"/>
              </w:rPr>
            </w:pPr>
          </w:p>
        </w:tc>
        <w:tc>
          <w:tcPr>
            <w:tcW w:w="1701" w:type="dxa"/>
            <w:vAlign w:val="center"/>
          </w:tcPr>
          <w:p w14:paraId="0EADC838">
            <w:pPr>
              <w:jc w:val="center"/>
            </w:pPr>
            <w:r>
              <w:rPr>
                <w:rFonts w:hint="eastAsia" w:asciiTheme="minorEastAsia" w:hAnsiTheme="minorEastAsia" w:eastAsiaTheme="minorEastAsia" w:cstheme="minorEastAsia"/>
                <w:szCs w:val="21"/>
              </w:rPr>
              <w:t>工期保障</w:t>
            </w:r>
          </w:p>
        </w:tc>
        <w:tc>
          <w:tcPr>
            <w:tcW w:w="5781" w:type="dxa"/>
            <w:vAlign w:val="center"/>
          </w:tcPr>
          <w:p w14:paraId="7BFE3458">
            <w:pPr>
              <w:rPr>
                <w:rFonts w:hint="eastAsia" w:ascii="宋体" w:hAnsi="宋体"/>
                <w:szCs w:val="21"/>
              </w:rPr>
            </w:pPr>
            <w:r>
              <w:rPr>
                <w:rFonts w:hint="eastAsia" w:ascii="宋体" w:hAnsi="宋体"/>
                <w:szCs w:val="21"/>
              </w:rPr>
              <w:t>能够提供详细、科学生产计划图，清晰展示从原材料采购、各工序的时间节点和衔接，工期合理且留有适当余量以应对风险，能按时交货。</w:t>
            </w:r>
          </w:p>
        </w:tc>
        <w:tc>
          <w:tcPr>
            <w:tcW w:w="1134" w:type="dxa"/>
            <w:vMerge w:val="continue"/>
            <w:vAlign w:val="center"/>
          </w:tcPr>
          <w:p w14:paraId="15E89DAB">
            <w:pPr>
              <w:jc w:val="center"/>
              <w:rPr>
                <w:rFonts w:hint="eastAsia" w:ascii="宋体" w:hAnsi="宋体"/>
              </w:rPr>
            </w:pPr>
          </w:p>
        </w:tc>
      </w:tr>
      <w:tr w14:paraId="6E170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36749993">
            <w:pPr>
              <w:tabs>
                <w:tab w:val="left" w:pos="420"/>
              </w:tabs>
              <w:jc w:val="center"/>
              <w:rPr>
                <w:rFonts w:hint="eastAsia" w:ascii="宋体" w:hAnsi="宋体"/>
                <w:szCs w:val="21"/>
              </w:rPr>
            </w:pPr>
          </w:p>
        </w:tc>
        <w:tc>
          <w:tcPr>
            <w:tcW w:w="1701" w:type="dxa"/>
            <w:vAlign w:val="center"/>
          </w:tcPr>
          <w:p w14:paraId="184E4278">
            <w:pPr>
              <w:jc w:val="center"/>
              <w:rPr>
                <w:rFonts w:hint="eastAsia" w:ascii="宋体" w:hAnsi="宋体" w:cs="宋体"/>
                <w:szCs w:val="21"/>
              </w:rPr>
            </w:pPr>
            <w:r>
              <w:rPr>
                <w:rFonts w:hint="eastAsia" w:asciiTheme="minorEastAsia" w:hAnsiTheme="minorEastAsia" w:eastAsiaTheme="minorEastAsia" w:cstheme="minorEastAsia"/>
                <w:szCs w:val="21"/>
              </w:rPr>
              <w:t>质量控制体系与措施</w:t>
            </w:r>
          </w:p>
        </w:tc>
        <w:tc>
          <w:tcPr>
            <w:tcW w:w="5781" w:type="dxa"/>
            <w:vAlign w:val="center"/>
          </w:tcPr>
          <w:p w14:paraId="1157CDDB">
            <w:pPr>
              <w:rPr>
                <w:rFonts w:hint="eastAsia" w:ascii="宋体" w:hAnsi="宋体"/>
                <w:szCs w:val="21"/>
              </w:rPr>
            </w:pPr>
            <w:r>
              <w:rPr>
                <w:rFonts w:hint="eastAsia" w:ascii="宋体" w:hAnsi="宋体"/>
                <w:szCs w:val="21"/>
              </w:rPr>
              <w:t>有完善的质量管理流程说明，涵盖来料检验、过程检验、成品检验，提供明确有效的原材料来源及环保证明材料。明确关键质量控制点（如板材厚度、甲醛释放量、封边质量、漆膜硬度、尺寸公差、安装稳定性等）及检测方法、频率、标准。</w:t>
            </w:r>
          </w:p>
        </w:tc>
        <w:tc>
          <w:tcPr>
            <w:tcW w:w="1134" w:type="dxa"/>
            <w:vMerge w:val="continue"/>
            <w:vAlign w:val="center"/>
          </w:tcPr>
          <w:p w14:paraId="7DA40515">
            <w:pPr>
              <w:jc w:val="center"/>
              <w:rPr>
                <w:rFonts w:hint="eastAsia" w:ascii="宋体" w:hAnsi="宋体"/>
              </w:rPr>
            </w:pPr>
          </w:p>
        </w:tc>
      </w:tr>
      <w:tr w14:paraId="5D8D9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vAlign w:val="center"/>
          </w:tcPr>
          <w:p w14:paraId="4DFB7DA4">
            <w:pPr>
              <w:tabs>
                <w:tab w:val="left" w:pos="420"/>
              </w:tabs>
              <w:jc w:val="center"/>
              <w:rPr>
                <w:rFonts w:hint="eastAsia" w:ascii="宋体" w:hAnsi="宋体"/>
                <w:szCs w:val="21"/>
              </w:rPr>
            </w:pPr>
          </w:p>
        </w:tc>
        <w:tc>
          <w:tcPr>
            <w:tcW w:w="1701" w:type="dxa"/>
            <w:vAlign w:val="center"/>
          </w:tcPr>
          <w:p w14:paraId="65F60E70">
            <w:pPr>
              <w:jc w:val="center"/>
              <w:rPr>
                <w:rFonts w:hint="eastAsia" w:ascii="宋体" w:hAnsi="宋体" w:cs="宋体"/>
                <w:szCs w:val="21"/>
              </w:rPr>
            </w:pPr>
            <w:r>
              <w:rPr>
                <w:rFonts w:hint="eastAsia" w:asciiTheme="minorEastAsia" w:hAnsiTheme="minorEastAsia" w:eastAsiaTheme="minorEastAsia" w:cstheme="minorEastAsia"/>
                <w:szCs w:val="21"/>
              </w:rPr>
              <w:t>应急预案与风险控制</w:t>
            </w:r>
          </w:p>
        </w:tc>
        <w:tc>
          <w:tcPr>
            <w:tcW w:w="5781" w:type="dxa"/>
            <w:vAlign w:val="center"/>
          </w:tcPr>
          <w:p w14:paraId="7E1D6F2C">
            <w:pPr>
              <w:rPr>
                <w:rFonts w:hint="eastAsia" w:ascii="宋体" w:hAnsi="宋体"/>
                <w:szCs w:val="21"/>
              </w:rPr>
            </w:pPr>
            <w:r>
              <w:rPr>
                <w:rFonts w:hint="eastAsia" w:ascii="宋体" w:hAnsi="宋体"/>
                <w:szCs w:val="21"/>
              </w:rPr>
              <w:t>能识别潜在风险（如设备故障、原材料延迟等不可抗力），并针对每项风险提出可行的应对预案。</w:t>
            </w:r>
          </w:p>
        </w:tc>
        <w:tc>
          <w:tcPr>
            <w:tcW w:w="1134" w:type="dxa"/>
            <w:vMerge w:val="continue"/>
            <w:vAlign w:val="center"/>
          </w:tcPr>
          <w:p w14:paraId="72604548">
            <w:pPr>
              <w:jc w:val="center"/>
              <w:rPr>
                <w:rFonts w:hint="eastAsia" w:ascii="宋体" w:hAnsi="宋体" w:cs="宋体"/>
                <w:szCs w:val="21"/>
              </w:rPr>
            </w:pPr>
          </w:p>
        </w:tc>
      </w:tr>
      <w:tr w14:paraId="27F6C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Align w:val="center"/>
          </w:tcPr>
          <w:p w14:paraId="18180C92">
            <w:pPr>
              <w:tabs>
                <w:tab w:val="left" w:pos="420"/>
              </w:tabs>
              <w:jc w:val="center"/>
              <w:rPr>
                <w:rFonts w:hint="eastAsia" w:ascii="宋体" w:hAnsi="宋体"/>
                <w:szCs w:val="21"/>
              </w:rPr>
            </w:pPr>
          </w:p>
        </w:tc>
        <w:tc>
          <w:tcPr>
            <w:tcW w:w="1701" w:type="dxa"/>
            <w:vAlign w:val="center"/>
          </w:tcPr>
          <w:p w14:paraId="5DD3CE03">
            <w:pPr>
              <w:jc w:val="center"/>
              <w:rPr>
                <w:szCs w:val="21"/>
              </w:rPr>
            </w:pPr>
          </w:p>
        </w:tc>
        <w:tc>
          <w:tcPr>
            <w:tcW w:w="5781" w:type="dxa"/>
            <w:vAlign w:val="center"/>
          </w:tcPr>
          <w:p w14:paraId="32C2DC88">
            <w:pPr>
              <w:jc w:val="center"/>
              <w:rPr>
                <w:b/>
                <w:bCs/>
                <w:szCs w:val="21"/>
              </w:rPr>
            </w:pPr>
            <w:r>
              <w:rPr>
                <w:rFonts w:hint="eastAsia"/>
                <w:b/>
                <w:bCs/>
                <w:szCs w:val="21"/>
              </w:rPr>
              <w:t>评分合计</w:t>
            </w:r>
          </w:p>
        </w:tc>
        <w:tc>
          <w:tcPr>
            <w:tcW w:w="1134" w:type="dxa"/>
            <w:vAlign w:val="center"/>
          </w:tcPr>
          <w:p w14:paraId="586BE6D3">
            <w:pPr>
              <w:jc w:val="center"/>
              <w:rPr>
                <w:b/>
                <w:bCs/>
                <w:szCs w:val="21"/>
              </w:rPr>
            </w:pPr>
            <w:r>
              <w:rPr>
                <w:rFonts w:hint="eastAsia"/>
                <w:b/>
                <w:bCs/>
                <w:szCs w:val="21"/>
              </w:rPr>
              <w:t>100</w:t>
            </w:r>
          </w:p>
        </w:tc>
      </w:tr>
    </w:tbl>
    <w:p w14:paraId="54AA5ADA">
      <w:pPr>
        <w:widowControl/>
        <w:jc w:val="left"/>
        <w:rPr>
          <w:rFonts w:eastAsia="黑体"/>
          <w:b/>
          <w:sz w:val="44"/>
        </w:rPr>
      </w:pPr>
      <w:r>
        <w:rPr>
          <w:rFonts w:eastAsia="黑体"/>
          <w:b/>
          <w:sz w:val="44"/>
        </w:rPr>
        <w:br w:type="page"/>
      </w:r>
    </w:p>
    <w:p w14:paraId="177F928D">
      <w:pPr>
        <w:spacing w:line="480" w:lineRule="exact"/>
        <w:jc w:val="center"/>
        <w:rPr>
          <w:rFonts w:eastAsia="黑体"/>
          <w:b/>
          <w:sz w:val="44"/>
        </w:rPr>
      </w:pPr>
    </w:p>
    <w:p w14:paraId="739E20A4">
      <w:pPr>
        <w:spacing w:line="480" w:lineRule="exact"/>
        <w:jc w:val="center"/>
        <w:rPr>
          <w:rFonts w:eastAsia="黑体"/>
          <w:b/>
          <w:sz w:val="44"/>
        </w:rPr>
      </w:pPr>
    </w:p>
    <w:p w14:paraId="2438EF00">
      <w:pPr>
        <w:spacing w:line="480" w:lineRule="exact"/>
        <w:jc w:val="center"/>
        <w:rPr>
          <w:rFonts w:eastAsia="黑体"/>
          <w:b/>
          <w:sz w:val="44"/>
        </w:rPr>
      </w:pPr>
    </w:p>
    <w:p w14:paraId="6FD6A80D">
      <w:pPr>
        <w:spacing w:line="480" w:lineRule="exact"/>
        <w:jc w:val="center"/>
        <w:rPr>
          <w:rFonts w:eastAsia="黑体"/>
          <w:b/>
          <w:sz w:val="44"/>
        </w:rPr>
      </w:pPr>
    </w:p>
    <w:p w14:paraId="492899D7">
      <w:pPr>
        <w:spacing w:line="480" w:lineRule="exact"/>
        <w:jc w:val="center"/>
        <w:rPr>
          <w:rFonts w:eastAsia="黑体"/>
          <w:b/>
          <w:sz w:val="44"/>
        </w:rPr>
      </w:pPr>
    </w:p>
    <w:p w14:paraId="5463377C">
      <w:pPr>
        <w:spacing w:line="480" w:lineRule="exact"/>
        <w:jc w:val="center"/>
        <w:rPr>
          <w:rFonts w:eastAsia="黑体"/>
          <w:b/>
          <w:sz w:val="44"/>
        </w:rPr>
      </w:pPr>
    </w:p>
    <w:p w14:paraId="1CE95B43">
      <w:pPr>
        <w:spacing w:line="480" w:lineRule="exact"/>
        <w:jc w:val="center"/>
        <w:rPr>
          <w:rFonts w:eastAsia="黑体"/>
          <w:b/>
          <w:sz w:val="44"/>
        </w:rPr>
      </w:pPr>
    </w:p>
    <w:p w14:paraId="2F46133B">
      <w:pPr>
        <w:spacing w:line="480" w:lineRule="exact"/>
        <w:jc w:val="center"/>
        <w:rPr>
          <w:rFonts w:eastAsia="黑体"/>
          <w:b/>
          <w:sz w:val="44"/>
        </w:rPr>
      </w:pPr>
    </w:p>
    <w:p w14:paraId="3168BFDF">
      <w:pPr>
        <w:spacing w:line="480" w:lineRule="exact"/>
        <w:jc w:val="center"/>
        <w:rPr>
          <w:rFonts w:eastAsia="黑体"/>
          <w:b/>
          <w:sz w:val="44"/>
        </w:rPr>
      </w:pPr>
    </w:p>
    <w:p w14:paraId="63E5137A">
      <w:pPr>
        <w:spacing w:line="480" w:lineRule="exact"/>
        <w:jc w:val="center"/>
        <w:rPr>
          <w:rFonts w:eastAsia="黑体"/>
          <w:b/>
          <w:sz w:val="44"/>
        </w:rPr>
      </w:pPr>
    </w:p>
    <w:p w14:paraId="58BE471D">
      <w:pPr>
        <w:spacing w:line="480" w:lineRule="exact"/>
        <w:jc w:val="center"/>
        <w:rPr>
          <w:rFonts w:eastAsia="黑体"/>
          <w:b/>
          <w:sz w:val="44"/>
        </w:rPr>
      </w:pPr>
    </w:p>
    <w:p w14:paraId="22F80194">
      <w:pPr>
        <w:spacing w:line="480" w:lineRule="exact"/>
        <w:jc w:val="center"/>
        <w:rPr>
          <w:rFonts w:eastAsia="黑体"/>
          <w:b/>
          <w:sz w:val="44"/>
        </w:rPr>
      </w:pPr>
    </w:p>
    <w:p w14:paraId="5BF245AF">
      <w:pPr>
        <w:spacing w:line="480" w:lineRule="exact"/>
        <w:jc w:val="center"/>
        <w:outlineLvl w:val="0"/>
        <w:rPr>
          <w:rFonts w:eastAsia="黑体"/>
          <w:b/>
          <w:sz w:val="44"/>
        </w:rPr>
      </w:pPr>
      <w:r>
        <w:rPr>
          <w:rFonts w:hint="eastAsia" w:eastAsia="黑体"/>
          <w:b/>
          <w:sz w:val="44"/>
        </w:rPr>
        <w:t xml:space="preserve">第五部分 </w:t>
      </w:r>
      <w:r>
        <w:rPr>
          <w:rFonts w:eastAsia="黑体"/>
          <w:b/>
          <w:sz w:val="44"/>
        </w:rPr>
        <w:t xml:space="preserve"> </w:t>
      </w:r>
      <w:r>
        <w:rPr>
          <w:rFonts w:hint="eastAsia" w:eastAsia="黑体"/>
          <w:b/>
          <w:sz w:val="44"/>
        </w:rPr>
        <w:t>合同书格式</w:t>
      </w:r>
    </w:p>
    <w:p w14:paraId="6136CC68">
      <w:pPr>
        <w:adjustRightInd w:val="0"/>
        <w:snapToGrid w:val="0"/>
        <w:spacing w:line="360" w:lineRule="auto"/>
        <w:jc w:val="center"/>
        <w:rPr>
          <w:rFonts w:hint="eastAsia" w:ascii="宋体" w:hAnsi="宋体"/>
          <w:b/>
          <w:bCs/>
          <w:sz w:val="32"/>
          <w:szCs w:val="32"/>
        </w:rPr>
      </w:pPr>
      <w:r>
        <w:rPr>
          <w:sz w:val="24"/>
          <w:szCs w:val="24"/>
        </w:rPr>
        <w:br w:type="page"/>
      </w:r>
    </w:p>
    <w:p w14:paraId="30FC6759">
      <w:pPr>
        <w:jc w:val="center"/>
        <w:rPr>
          <w:rFonts w:hint="eastAsia" w:ascii="宋体" w:hAnsi="宋体" w:cs="宋体"/>
          <w:b/>
          <w:bCs/>
          <w:spacing w:val="15"/>
          <w:kern w:val="0"/>
          <w:sz w:val="52"/>
          <w:szCs w:val="52"/>
        </w:rPr>
      </w:pPr>
    </w:p>
    <w:p w14:paraId="0E9E784C">
      <w:pPr>
        <w:jc w:val="center"/>
        <w:rPr>
          <w:rFonts w:hint="eastAsia" w:ascii="宋体" w:hAnsi="宋体" w:cs="宋体"/>
          <w:b/>
          <w:kern w:val="0"/>
          <w:sz w:val="52"/>
          <w:szCs w:val="52"/>
        </w:rPr>
      </w:pPr>
      <w:r>
        <w:rPr>
          <w:rFonts w:hint="eastAsia" w:ascii="宋体" w:hAnsi="宋体" w:cs="宋体"/>
          <w:b/>
          <w:bCs/>
          <w:spacing w:val="15"/>
          <w:kern w:val="0"/>
          <w:sz w:val="52"/>
          <w:szCs w:val="52"/>
        </w:rPr>
        <w:t>广州工控大湾区现代高端装备研发生产基地项目（三期）办公家具采购项目</w:t>
      </w:r>
    </w:p>
    <w:p w14:paraId="50DA6D01">
      <w:pPr>
        <w:jc w:val="center"/>
        <w:rPr>
          <w:rFonts w:hint="eastAsia" w:ascii="宋体" w:hAnsi="宋体" w:cs="宋体"/>
          <w:b/>
          <w:kern w:val="0"/>
          <w:sz w:val="52"/>
          <w:szCs w:val="52"/>
        </w:rPr>
      </w:pPr>
      <w:r>
        <w:rPr>
          <w:rFonts w:hint="eastAsia" w:ascii="宋体" w:hAnsi="宋体" w:cs="宋体"/>
          <w:b/>
          <w:kern w:val="0"/>
          <w:sz w:val="52"/>
          <w:szCs w:val="52"/>
        </w:rPr>
        <w:t>合同书模板</w:t>
      </w:r>
    </w:p>
    <w:p w14:paraId="6D20E131">
      <w:pPr>
        <w:shd w:val="clear" w:color="auto" w:fill="FFFFFF"/>
        <w:autoSpaceDE w:val="0"/>
        <w:autoSpaceDN w:val="0"/>
        <w:adjustRightInd w:val="0"/>
        <w:spacing w:before="32"/>
        <w:ind w:left="860" w:right="861"/>
        <w:jc w:val="center"/>
        <w:rPr>
          <w:rFonts w:ascii="方正小标宋简体" w:hAnsi="Times New Roman" w:eastAsia="方正小标宋简体" w:cs="宋体"/>
          <w:b/>
          <w:kern w:val="0"/>
          <w:sz w:val="30"/>
          <w:szCs w:val="30"/>
        </w:rPr>
      </w:pPr>
    </w:p>
    <w:p w14:paraId="41B92B2C">
      <w:pPr>
        <w:shd w:val="clear" w:color="auto" w:fill="FFFFFF"/>
        <w:autoSpaceDE w:val="0"/>
        <w:autoSpaceDN w:val="0"/>
        <w:adjustRightInd w:val="0"/>
        <w:spacing w:before="32"/>
        <w:ind w:left="860" w:right="861"/>
        <w:rPr>
          <w:rFonts w:ascii="Times New Roman" w:hAnsi="Times New Roman" w:cs="宋体"/>
          <w:kern w:val="0"/>
          <w:sz w:val="30"/>
          <w:szCs w:val="30"/>
        </w:rPr>
      </w:pPr>
    </w:p>
    <w:p w14:paraId="3A27960E">
      <w:pPr>
        <w:shd w:val="clear" w:color="auto" w:fill="FFFFFF"/>
        <w:autoSpaceDE w:val="0"/>
        <w:autoSpaceDN w:val="0"/>
        <w:adjustRightInd w:val="0"/>
        <w:spacing w:before="32"/>
        <w:ind w:right="861" w:firstLine="2100" w:firstLineChars="700"/>
        <w:rPr>
          <w:rFonts w:ascii="Times New Roman" w:hAnsi="Times New Roman" w:cs="宋体"/>
          <w:kern w:val="0"/>
          <w:sz w:val="24"/>
          <w:szCs w:val="24"/>
          <w:u w:val="single"/>
        </w:rPr>
      </w:pPr>
      <w:r>
        <w:rPr>
          <w:rFonts w:hint="eastAsia" w:ascii="Times New Roman" w:hAnsi="Times New Roman" w:cs="宋体"/>
          <w:kern w:val="0"/>
          <w:sz w:val="30"/>
          <w:szCs w:val="30"/>
        </w:rPr>
        <w:t>合同</w:t>
      </w:r>
      <w:r>
        <w:rPr>
          <w:rFonts w:ascii="Times New Roman" w:hAnsi="Times New Roman" w:cs="宋体"/>
          <w:kern w:val="0"/>
          <w:sz w:val="30"/>
          <w:szCs w:val="30"/>
        </w:rPr>
        <w:t>编号：</w:t>
      </w:r>
      <w:r>
        <w:rPr>
          <w:rFonts w:ascii="宋体" w:hAnsi="宋体"/>
          <w:sz w:val="24"/>
          <w:szCs w:val="24"/>
          <w:u w:val="single"/>
        </w:rPr>
        <w:t xml:space="preserve"> </w:t>
      </w:r>
      <w:r>
        <w:rPr>
          <w:rFonts w:hint="eastAsia" w:ascii="宋体" w:hAnsi="宋体"/>
          <w:sz w:val="24"/>
          <w:szCs w:val="24"/>
          <w:u w:val="single"/>
        </w:rPr>
        <w:t xml:space="preserve">                </w:t>
      </w:r>
    </w:p>
    <w:p w14:paraId="6C2C569F">
      <w:pPr>
        <w:shd w:val="clear" w:color="auto" w:fill="FFFFFF"/>
        <w:autoSpaceDE w:val="0"/>
        <w:autoSpaceDN w:val="0"/>
        <w:adjustRightInd w:val="0"/>
        <w:spacing w:before="32"/>
        <w:ind w:left="860" w:right="861"/>
        <w:jc w:val="center"/>
        <w:rPr>
          <w:rFonts w:ascii="Times New Roman" w:hAnsi="Times New Roman" w:cs="宋体"/>
          <w:kern w:val="0"/>
          <w:sz w:val="52"/>
          <w:szCs w:val="52"/>
        </w:rPr>
      </w:pPr>
    </w:p>
    <w:p w14:paraId="19BE9336">
      <w:pPr>
        <w:shd w:val="clear" w:color="auto" w:fill="FFFFFF"/>
        <w:autoSpaceDE w:val="0"/>
        <w:autoSpaceDN w:val="0"/>
        <w:adjustRightInd w:val="0"/>
        <w:spacing w:before="32"/>
        <w:ind w:left="860" w:right="861"/>
        <w:jc w:val="center"/>
        <w:rPr>
          <w:rFonts w:ascii="Times New Roman" w:hAnsi="Times New Roman" w:cs="宋体"/>
          <w:kern w:val="0"/>
          <w:sz w:val="52"/>
          <w:szCs w:val="52"/>
        </w:rPr>
      </w:pPr>
    </w:p>
    <w:p w14:paraId="45B5907D">
      <w:pPr>
        <w:shd w:val="clear" w:color="auto" w:fill="FFFFFF"/>
        <w:autoSpaceDE w:val="0"/>
        <w:autoSpaceDN w:val="0"/>
        <w:adjustRightInd w:val="0"/>
        <w:spacing w:before="32"/>
        <w:ind w:left="860" w:right="861"/>
        <w:jc w:val="center"/>
        <w:rPr>
          <w:rFonts w:ascii="宋体" w:hAnsi="Times New Roman" w:cs="宋体"/>
          <w:kern w:val="0"/>
          <w:sz w:val="52"/>
          <w:szCs w:val="52"/>
        </w:rPr>
      </w:pPr>
    </w:p>
    <w:p w14:paraId="583DD875">
      <w:pPr>
        <w:shd w:val="clear" w:color="auto" w:fill="FFFFFF"/>
        <w:autoSpaceDE w:val="0"/>
        <w:autoSpaceDN w:val="0"/>
        <w:adjustRightInd w:val="0"/>
        <w:spacing w:line="480" w:lineRule="auto"/>
        <w:rPr>
          <w:rFonts w:ascii="宋体" w:hAnsi="Times New Roman" w:cs="宋体"/>
          <w:kern w:val="0"/>
          <w:sz w:val="20"/>
          <w:szCs w:val="24"/>
        </w:rPr>
      </w:pPr>
    </w:p>
    <w:p w14:paraId="6F2420FF">
      <w:pPr>
        <w:shd w:val="clear" w:color="auto" w:fill="FFFFFF"/>
        <w:autoSpaceDE w:val="0"/>
        <w:autoSpaceDN w:val="0"/>
        <w:adjustRightInd w:val="0"/>
        <w:spacing w:line="480" w:lineRule="auto"/>
        <w:rPr>
          <w:rFonts w:ascii="宋体" w:hAnsi="Times New Roman" w:cs="宋体"/>
          <w:kern w:val="0"/>
          <w:sz w:val="20"/>
          <w:szCs w:val="24"/>
        </w:rPr>
      </w:pPr>
    </w:p>
    <w:p w14:paraId="5EF725D8">
      <w:pPr>
        <w:shd w:val="clear" w:color="auto" w:fill="FFFFFF"/>
        <w:autoSpaceDE w:val="0"/>
        <w:autoSpaceDN w:val="0"/>
        <w:adjustRightInd w:val="0"/>
        <w:spacing w:line="480" w:lineRule="auto"/>
        <w:rPr>
          <w:rFonts w:ascii="宋体" w:hAnsi="Times New Roman" w:cs="宋体"/>
          <w:kern w:val="0"/>
          <w:sz w:val="20"/>
          <w:szCs w:val="24"/>
        </w:rPr>
      </w:pPr>
    </w:p>
    <w:p w14:paraId="1B297922">
      <w:pPr>
        <w:shd w:val="clear" w:color="auto" w:fill="FFFFFF"/>
        <w:tabs>
          <w:tab w:val="left" w:pos="8560"/>
        </w:tabs>
        <w:autoSpaceDE w:val="0"/>
        <w:autoSpaceDN w:val="0"/>
        <w:adjustRightInd w:val="0"/>
        <w:spacing w:line="480" w:lineRule="auto"/>
        <w:ind w:right="-20"/>
        <w:rPr>
          <w:rFonts w:ascii="宋体" w:hAnsi="Times New Roman" w:cs="宋体"/>
          <w:kern w:val="0"/>
          <w:sz w:val="30"/>
          <w:szCs w:val="30"/>
          <w:u w:val="single"/>
        </w:rPr>
      </w:pPr>
      <w:r>
        <w:rPr>
          <w:rFonts w:hint="eastAsia" w:ascii="宋体" w:hAnsi="Times New Roman" w:cs="宋体"/>
          <w:kern w:val="0"/>
          <w:position w:val="-3"/>
          <w:sz w:val="30"/>
          <w:szCs w:val="30"/>
        </w:rPr>
        <w:t>甲方：</w:t>
      </w:r>
      <w:r>
        <w:rPr>
          <w:rFonts w:hint="eastAsia" w:ascii="宋体" w:hAnsi="Times New Roman" w:cs="宋体"/>
          <w:kern w:val="0"/>
          <w:sz w:val="30"/>
          <w:szCs w:val="30"/>
          <w:u w:val="single"/>
        </w:rPr>
        <w:t xml:space="preserve">                             </w:t>
      </w:r>
    </w:p>
    <w:p w14:paraId="4ACC873B">
      <w:pPr>
        <w:shd w:val="clear" w:color="auto" w:fill="FFFFFF"/>
        <w:tabs>
          <w:tab w:val="left" w:pos="8560"/>
        </w:tabs>
        <w:autoSpaceDE w:val="0"/>
        <w:autoSpaceDN w:val="0"/>
        <w:adjustRightInd w:val="0"/>
        <w:spacing w:line="480" w:lineRule="auto"/>
        <w:ind w:right="-20"/>
        <w:jc w:val="left"/>
        <w:rPr>
          <w:rFonts w:ascii="宋体" w:hAnsi="Times New Roman" w:cs="宋体"/>
          <w:kern w:val="0"/>
          <w:sz w:val="30"/>
          <w:szCs w:val="30"/>
          <w:u w:val="single"/>
        </w:rPr>
      </w:pPr>
      <w:r>
        <w:rPr>
          <w:rFonts w:hint="eastAsia" w:ascii="宋体" w:hAnsi="Times New Roman" w:cs="宋体"/>
          <w:kern w:val="0"/>
          <w:sz w:val="30"/>
          <w:szCs w:val="30"/>
        </w:rPr>
        <w:t>乙方：</w:t>
      </w:r>
      <w:r>
        <w:rPr>
          <w:rFonts w:hint="eastAsia" w:ascii="宋体" w:hAnsi="Times New Roman" w:cs="宋体"/>
          <w:kern w:val="0"/>
          <w:sz w:val="30"/>
          <w:szCs w:val="30"/>
          <w:u w:val="single"/>
        </w:rPr>
        <w:t xml:space="preserve"> </w:t>
      </w:r>
      <w:r>
        <w:rPr>
          <w:rFonts w:ascii="宋体" w:hAnsi="Times New Roman" w:cs="宋体"/>
          <w:kern w:val="0"/>
          <w:sz w:val="30"/>
          <w:szCs w:val="30"/>
          <w:u w:val="single"/>
        </w:rPr>
        <w:t xml:space="preserve">                             </w:t>
      </w:r>
    </w:p>
    <w:p w14:paraId="5F0B9E07">
      <w:pPr>
        <w:shd w:val="clear" w:color="auto" w:fill="FFFFFF"/>
        <w:tabs>
          <w:tab w:val="left" w:pos="8560"/>
        </w:tabs>
        <w:autoSpaceDE w:val="0"/>
        <w:autoSpaceDN w:val="0"/>
        <w:adjustRightInd w:val="0"/>
        <w:spacing w:line="480" w:lineRule="auto"/>
        <w:ind w:right="-20" w:firstLine="300" w:firstLineChars="100"/>
        <w:jc w:val="left"/>
        <w:rPr>
          <w:rFonts w:ascii="宋体" w:hAnsi="Times New Roman" w:cs="宋体"/>
          <w:kern w:val="0"/>
          <w:sz w:val="30"/>
          <w:szCs w:val="30"/>
        </w:rPr>
      </w:pPr>
      <w:r>
        <w:rPr>
          <w:rFonts w:hint="eastAsia" w:ascii="宋体" w:hAnsi="Times New Roman" w:cs="宋体"/>
          <w:kern w:val="0"/>
          <w:sz w:val="30"/>
          <w:szCs w:val="30"/>
        </w:rPr>
        <w:t>签订</w:t>
      </w:r>
      <w:r>
        <w:rPr>
          <w:rFonts w:ascii="宋体" w:hAnsi="Times New Roman" w:cs="宋体"/>
          <w:kern w:val="0"/>
          <w:sz w:val="30"/>
          <w:szCs w:val="30"/>
        </w:rPr>
        <w:t>时间：</w:t>
      </w:r>
      <w:r>
        <w:rPr>
          <w:rFonts w:hint="eastAsia" w:ascii="宋体" w:hAnsi="Times New Roman" w:cs="宋体"/>
          <w:kern w:val="0"/>
          <w:sz w:val="30"/>
          <w:szCs w:val="30"/>
        </w:rPr>
        <w:t>XXXX年XX月XX日（以合同签订时间为准）</w:t>
      </w:r>
    </w:p>
    <w:p w14:paraId="54C33199">
      <w:pPr>
        <w:widowControl/>
        <w:jc w:val="left"/>
        <w:rPr>
          <w:rFonts w:hint="eastAsia" w:ascii="Arial" w:hAnsi="宋体"/>
          <w:b/>
          <w:bCs/>
          <w:smallCaps/>
          <w:sz w:val="30"/>
          <w:szCs w:val="30"/>
        </w:rPr>
      </w:pPr>
      <w:r>
        <w:rPr>
          <w:rFonts w:hint="eastAsia" w:ascii="Arial" w:hAnsi="宋体"/>
          <w:b/>
          <w:bCs/>
          <w:smallCaps/>
          <w:sz w:val="30"/>
          <w:szCs w:val="30"/>
        </w:rPr>
        <w:br w:type="page"/>
      </w:r>
    </w:p>
    <w:p w14:paraId="5EB63BB7">
      <w:pPr>
        <w:tabs>
          <w:tab w:val="left" w:pos="0"/>
          <w:tab w:val="right" w:leader="dot" w:pos="8948"/>
        </w:tabs>
        <w:spacing w:line="348" w:lineRule="auto"/>
        <w:ind w:left="1" w:hanging="1"/>
        <w:jc w:val="center"/>
        <w:rPr>
          <w:rFonts w:hint="eastAsia" w:ascii="Arial" w:hAnsi="宋体"/>
          <w:b/>
          <w:bCs/>
          <w:smallCaps/>
          <w:sz w:val="30"/>
          <w:szCs w:val="30"/>
        </w:rPr>
      </w:pPr>
      <w:r>
        <w:rPr>
          <w:rFonts w:hint="eastAsia" w:ascii="Arial" w:hAnsi="宋体"/>
          <w:b/>
          <w:bCs/>
          <w:smallCaps/>
          <w:sz w:val="30"/>
          <w:szCs w:val="30"/>
        </w:rPr>
        <w:t>广州工控大湾区现代高端装备研发生产基地项目（三期）办公家具采购项目相关服务合同</w:t>
      </w:r>
    </w:p>
    <w:p w14:paraId="78B410E0">
      <w:pPr>
        <w:snapToGrid w:val="0"/>
        <w:spacing w:line="360" w:lineRule="auto"/>
        <w:ind w:firstLine="420" w:firstLineChars="200"/>
        <w:rPr>
          <w:szCs w:val="21"/>
        </w:rPr>
      </w:pPr>
    </w:p>
    <w:p w14:paraId="7FDD61F8">
      <w:pPr>
        <w:snapToGrid w:val="0"/>
        <w:spacing w:line="360" w:lineRule="auto"/>
        <w:rPr>
          <w:rFonts w:hint="eastAsia" w:ascii="宋体" w:hAnsi="宋体"/>
          <w:b/>
          <w:szCs w:val="21"/>
          <w:u w:val="single"/>
        </w:rPr>
      </w:pPr>
      <w:r>
        <w:rPr>
          <w:rFonts w:hint="eastAsia" w:ascii="宋体" w:hAnsi="宋体"/>
          <w:b/>
          <w:bCs/>
          <w:szCs w:val="21"/>
        </w:rPr>
        <w:t>甲方：</w:t>
      </w:r>
      <w:r>
        <w:rPr>
          <w:rFonts w:hint="eastAsia" w:ascii="宋体" w:hAnsi="宋体"/>
          <w:b/>
          <w:szCs w:val="21"/>
          <w:u w:val="single"/>
        </w:rPr>
        <w:t xml:space="preserve">                    </w:t>
      </w:r>
    </w:p>
    <w:p w14:paraId="73CDB8E6">
      <w:pPr>
        <w:snapToGrid w:val="0"/>
        <w:spacing w:line="360" w:lineRule="auto"/>
        <w:rPr>
          <w:rFonts w:hint="eastAsia" w:ascii="宋体" w:hAnsi="宋体"/>
          <w:b/>
          <w:szCs w:val="21"/>
        </w:rPr>
      </w:pPr>
      <w:r>
        <w:rPr>
          <w:rFonts w:hint="eastAsia" w:ascii="宋体" w:hAnsi="宋体"/>
          <w:b/>
          <w:szCs w:val="21"/>
        </w:rPr>
        <w:t>地址：</w:t>
      </w:r>
      <w:r>
        <w:rPr>
          <w:rFonts w:hint="eastAsia" w:ascii="宋体" w:hAnsi="宋体"/>
          <w:b/>
          <w:szCs w:val="21"/>
          <w:u w:val="single"/>
        </w:rPr>
        <w:t xml:space="preserve">                   </w:t>
      </w:r>
    </w:p>
    <w:p w14:paraId="6DC6AA0E">
      <w:pPr>
        <w:snapToGrid w:val="0"/>
        <w:spacing w:line="360" w:lineRule="auto"/>
        <w:rPr>
          <w:rFonts w:hint="eastAsia" w:ascii="宋体" w:hAnsi="宋体"/>
          <w:b/>
          <w:szCs w:val="21"/>
          <w:u w:val="single"/>
        </w:rPr>
      </w:pPr>
      <w:r>
        <w:rPr>
          <w:rFonts w:hint="eastAsia" w:ascii="宋体" w:hAnsi="宋体"/>
          <w:b/>
          <w:szCs w:val="21"/>
        </w:rPr>
        <w:t>联系人：</w:t>
      </w:r>
      <w:r>
        <w:rPr>
          <w:rFonts w:hint="eastAsia" w:ascii="宋体" w:hAnsi="宋体"/>
          <w:b/>
          <w:szCs w:val="21"/>
          <w:u w:val="single"/>
        </w:rPr>
        <w:t xml:space="preserve">            </w:t>
      </w:r>
      <w:r>
        <w:rPr>
          <w:rFonts w:hint="eastAsia" w:ascii="宋体" w:hAnsi="宋体"/>
          <w:b/>
          <w:szCs w:val="21"/>
        </w:rPr>
        <w:t>电话：</w:t>
      </w:r>
      <w:r>
        <w:rPr>
          <w:rFonts w:hint="eastAsia" w:ascii="宋体" w:hAnsi="宋体"/>
          <w:b/>
          <w:szCs w:val="21"/>
          <w:u w:val="single"/>
        </w:rPr>
        <w:t xml:space="preserve">                 </w:t>
      </w:r>
      <w:r>
        <w:rPr>
          <w:rFonts w:ascii="宋体" w:hAnsi="宋体"/>
          <w:b/>
          <w:szCs w:val="21"/>
          <w:u w:val="single"/>
        </w:rPr>
        <w:t xml:space="preserve"> </w:t>
      </w:r>
      <w:r>
        <w:rPr>
          <w:rFonts w:ascii="宋体" w:hAnsi="宋体"/>
          <w:b/>
          <w:szCs w:val="21"/>
        </w:rPr>
        <w:t xml:space="preserve">   </w:t>
      </w:r>
      <w:r>
        <w:rPr>
          <w:rFonts w:hint="eastAsia" w:ascii="宋体" w:hAnsi="宋体"/>
          <w:b/>
          <w:szCs w:val="21"/>
        </w:rPr>
        <w:t>传  真：</w:t>
      </w:r>
      <w:r>
        <w:rPr>
          <w:rFonts w:hint="eastAsia" w:ascii="宋体" w:hAnsi="宋体"/>
          <w:b/>
          <w:szCs w:val="21"/>
          <w:u w:val="single"/>
        </w:rPr>
        <w:t xml:space="preserve">           </w:t>
      </w:r>
    </w:p>
    <w:p w14:paraId="0AEEB712">
      <w:pPr>
        <w:snapToGrid w:val="0"/>
        <w:spacing w:line="360" w:lineRule="auto"/>
        <w:rPr>
          <w:rFonts w:hint="eastAsia" w:ascii="宋体" w:hAnsi="宋体"/>
          <w:b/>
          <w:szCs w:val="21"/>
        </w:rPr>
      </w:pPr>
    </w:p>
    <w:p w14:paraId="52B58BA8">
      <w:pPr>
        <w:snapToGrid w:val="0"/>
        <w:spacing w:line="360" w:lineRule="auto"/>
        <w:rPr>
          <w:rFonts w:hint="eastAsia" w:ascii="宋体" w:hAnsi="宋体"/>
          <w:b/>
          <w:szCs w:val="21"/>
        </w:rPr>
      </w:pPr>
      <w:r>
        <w:rPr>
          <w:rFonts w:hint="eastAsia" w:ascii="宋体" w:hAnsi="宋体"/>
          <w:b/>
          <w:szCs w:val="21"/>
        </w:rPr>
        <w:t>乙方：</w:t>
      </w:r>
      <w:r>
        <w:rPr>
          <w:rFonts w:hint="eastAsia" w:ascii="宋体" w:hAnsi="宋体"/>
          <w:b/>
          <w:szCs w:val="21"/>
          <w:u w:val="single"/>
        </w:rPr>
        <w:t xml:space="preserve">  </w:t>
      </w:r>
      <w:r>
        <w:rPr>
          <w:rFonts w:ascii="宋体" w:hAnsi="宋体"/>
          <w:b/>
          <w:szCs w:val="21"/>
          <w:u w:val="single"/>
        </w:rPr>
        <w:t xml:space="preserve">                   </w:t>
      </w:r>
    </w:p>
    <w:p w14:paraId="44A554E8">
      <w:pPr>
        <w:snapToGrid w:val="0"/>
        <w:spacing w:line="360" w:lineRule="auto"/>
        <w:rPr>
          <w:rFonts w:hint="eastAsia" w:ascii="宋体" w:hAnsi="宋体"/>
          <w:b/>
          <w:szCs w:val="21"/>
        </w:rPr>
      </w:pPr>
      <w:r>
        <w:rPr>
          <w:rFonts w:hint="eastAsia" w:ascii="宋体" w:hAnsi="宋体"/>
          <w:b/>
          <w:szCs w:val="21"/>
        </w:rPr>
        <w:t>地址：</w:t>
      </w:r>
      <w:r>
        <w:rPr>
          <w:rFonts w:hint="eastAsia" w:ascii="宋体" w:hAnsi="宋体"/>
          <w:b/>
          <w:szCs w:val="21"/>
          <w:u w:val="single"/>
        </w:rPr>
        <w:t xml:space="preserve">            </w:t>
      </w:r>
      <w:r>
        <w:rPr>
          <w:rFonts w:ascii="宋体" w:hAnsi="宋体"/>
          <w:b/>
          <w:szCs w:val="21"/>
          <w:u w:val="single"/>
        </w:rPr>
        <w:t xml:space="preserve">      </w:t>
      </w:r>
      <w:r>
        <w:rPr>
          <w:rFonts w:hint="eastAsia" w:ascii="宋体" w:hAnsi="宋体"/>
          <w:b/>
          <w:szCs w:val="21"/>
          <w:u w:val="single"/>
        </w:rPr>
        <w:t xml:space="preserve">   </w:t>
      </w:r>
      <w:r>
        <w:rPr>
          <w:rFonts w:hint="eastAsia" w:ascii="宋体" w:hAnsi="宋体"/>
          <w:b/>
          <w:szCs w:val="21"/>
        </w:rPr>
        <w:t xml:space="preserve">  </w:t>
      </w:r>
    </w:p>
    <w:p w14:paraId="1E74E789">
      <w:pPr>
        <w:snapToGrid w:val="0"/>
        <w:spacing w:line="360" w:lineRule="auto"/>
        <w:rPr>
          <w:rFonts w:hint="eastAsia" w:ascii="宋体" w:hAnsi="宋体"/>
          <w:b/>
          <w:szCs w:val="21"/>
          <w:u w:val="single"/>
        </w:rPr>
      </w:pPr>
      <w:r>
        <w:rPr>
          <w:rFonts w:hint="eastAsia" w:ascii="宋体" w:hAnsi="宋体"/>
          <w:b/>
          <w:szCs w:val="21"/>
        </w:rPr>
        <w:t>联系人：</w:t>
      </w:r>
      <w:r>
        <w:rPr>
          <w:rFonts w:ascii="宋体" w:hAnsi="宋体"/>
          <w:b/>
          <w:szCs w:val="21"/>
          <w:u w:val="single"/>
        </w:rPr>
        <w:t xml:space="preserve">     </w:t>
      </w:r>
      <w:r>
        <w:rPr>
          <w:rFonts w:hint="eastAsia" w:ascii="宋体" w:hAnsi="宋体"/>
          <w:b/>
          <w:szCs w:val="21"/>
          <w:u w:val="single"/>
        </w:rPr>
        <w:t xml:space="preserve">      </w:t>
      </w:r>
      <w:r>
        <w:rPr>
          <w:rFonts w:hint="eastAsia" w:ascii="宋体" w:hAnsi="宋体"/>
          <w:b/>
          <w:szCs w:val="21"/>
        </w:rPr>
        <w:t>电话：</w:t>
      </w:r>
      <w:r>
        <w:rPr>
          <w:rFonts w:ascii="宋体" w:hAnsi="宋体"/>
          <w:b/>
          <w:szCs w:val="21"/>
          <w:u w:val="single"/>
        </w:rPr>
        <w:t xml:space="preserve">              </w:t>
      </w:r>
      <w:r>
        <w:rPr>
          <w:rFonts w:hint="eastAsia" w:ascii="宋体" w:hAnsi="宋体"/>
          <w:b/>
          <w:szCs w:val="21"/>
          <w:u w:val="single"/>
        </w:rPr>
        <w:t xml:space="preserve">  </w:t>
      </w:r>
      <w:r>
        <w:rPr>
          <w:rFonts w:hint="eastAsia" w:ascii="宋体" w:hAnsi="宋体"/>
          <w:b/>
          <w:szCs w:val="21"/>
        </w:rPr>
        <w:t xml:space="preserve">  传真：</w:t>
      </w:r>
      <w:r>
        <w:rPr>
          <w:rFonts w:ascii="宋体" w:hAnsi="宋体"/>
          <w:b/>
          <w:szCs w:val="21"/>
          <w:u w:val="single"/>
        </w:rPr>
        <w:t xml:space="preserve">             </w:t>
      </w:r>
    </w:p>
    <w:p w14:paraId="3C543CD1">
      <w:pPr>
        <w:snapToGrid w:val="0"/>
        <w:spacing w:line="360" w:lineRule="auto"/>
        <w:ind w:firstLine="340" w:firstLineChars="162"/>
        <w:rPr>
          <w:rFonts w:hint="eastAsia" w:ascii="宋体" w:hAnsi="宋体"/>
          <w:szCs w:val="21"/>
        </w:rPr>
      </w:pPr>
    </w:p>
    <w:p w14:paraId="0C29C332">
      <w:pPr>
        <w:snapToGrid w:val="0"/>
        <w:spacing w:line="360" w:lineRule="auto"/>
        <w:ind w:firstLine="340" w:firstLineChars="162"/>
        <w:rPr>
          <w:rFonts w:hint="eastAsia" w:ascii="宋体" w:hAnsi="宋体"/>
          <w:szCs w:val="21"/>
        </w:rPr>
      </w:pPr>
      <w:r>
        <w:rPr>
          <w:rFonts w:hint="eastAsia" w:ascii="宋体" w:hAnsi="宋体"/>
          <w:szCs w:val="21"/>
        </w:rPr>
        <w:t>根据《中华人民共和国民法典》及其他有关法律、法规的规定，买卖双方在平等、自愿、公平、诚实信用的基础上就本项目买卖事宜达成协议如下：</w:t>
      </w:r>
    </w:p>
    <w:p w14:paraId="397B19C0">
      <w:pPr>
        <w:snapToGrid w:val="0"/>
        <w:spacing w:line="360" w:lineRule="auto"/>
        <w:ind w:firstLine="422" w:firstLineChars="200"/>
        <w:outlineLvl w:val="2"/>
        <w:rPr>
          <w:rFonts w:hint="eastAsia" w:ascii="宋体" w:hAnsi="宋体"/>
          <w:b/>
          <w:szCs w:val="21"/>
        </w:rPr>
      </w:pPr>
      <w:r>
        <w:rPr>
          <w:rFonts w:hint="eastAsia" w:ascii="宋体" w:hAnsi="宋体"/>
          <w:b/>
          <w:szCs w:val="21"/>
        </w:rPr>
        <w:t>第一条 合同标的</w:t>
      </w:r>
    </w:p>
    <w:p w14:paraId="7AB8228B">
      <w:pPr>
        <w:snapToGrid w:val="0"/>
        <w:spacing w:line="360" w:lineRule="auto"/>
        <w:ind w:firstLine="340" w:firstLineChars="162"/>
        <w:rPr>
          <w:rFonts w:hint="eastAsia" w:ascii="宋体" w:hAnsi="宋体"/>
          <w:szCs w:val="21"/>
        </w:rPr>
      </w:pPr>
      <w:r>
        <w:rPr>
          <w:rFonts w:hint="eastAsia" w:ascii="宋体" w:hAnsi="宋体"/>
          <w:szCs w:val="21"/>
        </w:rPr>
        <w:t>1、本合同标的为用于项目的货物。</w:t>
      </w:r>
    </w:p>
    <w:p w14:paraId="57BC614D">
      <w:pPr>
        <w:snapToGrid w:val="0"/>
        <w:spacing w:line="360" w:lineRule="auto"/>
        <w:ind w:firstLine="340" w:firstLineChars="162"/>
        <w:rPr>
          <w:rFonts w:hint="eastAsia" w:ascii="宋体" w:hAnsi="宋体"/>
          <w:szCs w:val="21"/>
        </w:rPr>
      </w:pPr>
      <w:r>
        <w:rPr>
          <w:rFonts w:hint="eastAsia" w:ascii="宋体" w:hAnsi="宋体"/>
          <w:szCs w:val="21"/>
        </w:rPr>
        <w:t xml:space="preserve">2、项目编号： </w:t>
      </w:r>
    </w:p>
    <w:p w14:paraId="36308172">
      <w:pPr>
        <w:snapToGrid w:val="0"/>
        <w:spacing w:line="360" w:lineRule="auto"/>
        <w:ind w:firstLine="550" w:firstLineChars="262"/>
        <w:rPr>
          <w:rFonts w:hint="eastAsia" w:ascii="宋体" w:hAnsi="宋体"/>
          <w:szCs w:val="21"/>
        </w:rPr>
      </w:pPr>
      <w:r>
        <w:rPr>
          <w:rFonts w:hint="eastAsia" w:ascii="宋体" w:hAnsi="宋体"/>
          <w:szCs w:val="21"/>
        </w:rPr>
        <w:t>货物的名称、型号、规格、数量及配件、技术规范、随机资料等详细内容如下：</w:t>
      </w:r>
    </w:p>
    <w:tbl>
      <w:tblPr>
        <w:tblStyle w:val="22"/>
        <w:tblpPr w:leftFromText="180" w:rightFromText="180" w:vertAnchor="text" w:horzAnchor="margin" w:tblpXSpec="center" w:tblpY="9"/>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307"/>
        <w:gridCol w:w="2268"/>
        <w:gridCol w:w="709"/>
        <w:gridCol w:w="992"/>
        <w:gridCol w:w="1276"/>
        <w:gridCol w:w="1926"/>
      </w:tblGrid>
      <w:tr w14:paraId="2056B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4980EFF2">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序号</w:t>
            </w:r>
          </w:p>
        </w:tc>
        <w:tc>
          <w:tcPr>
            <w:tcW w:w="1307" w:type="dxa"/>
            <w:vAlign w:val="center"/>
          </w:tcPr>
          <w:p w14:paraId="5532754D">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产品名称</w:t>
            </w:r>
          </w:p>
        </w:tc>
        <w:tc>
          <w:tcPr>
            <w:tcW w:w="2268" w:type="dxa"/>
            <w:vAlign w:val="center"/>
          </w:tcPr>
          <w:p w14:paraId="38A2283C">
            <w:pPr>
              <w:tabs>
                <w:tab w:val="left" w:pos="540"/>
                <w:tab w:val="left" w:pos="1080"/>
              </w:tabs>
              <w:adjustRightInd w:val="0"/>
              <w:snapToGrid w:val="0"/>
              <w:spacing w:line="300" w:lineRule="auto"/>
              <w:ind w:firstLine="316" w:firstLineChars="150"/>
              <w:jc w:val="center"/>
              <w:rPr>
                <w:rFonts w:hint="eastAsia" w:ascii="宋体" w:hAnsi="宋体"/>
                <w:b/>
                <w:bCs/>
                <w:szCs w:val="21"/>
              </w:rPr>
            </w:pPr>
            <w:r>
              <w:rPr>
                <w:rFonts w:hint="eastAsia" w:ascii="宋体" w:hAnsi="宋体"/>
                <w:b/>
                <w:bCs/>
                <w:szCs w:val="21"/>
              </w:rPr>
              <w:t>型号及配置</w:t>
            </w:r>
          </w:p>
        </w:tc>
        <w:tc>
          <w:tcPr>
            <w:tcW w:w="709" w:type="dxa"/>
            <w:vAlign w:val="center"/>
          </w:tcPr>
          <w:p w14:paraId="2231D2E6">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数量</w:t>
            </w:r>
          </w:p>
        </w:tc>
        <w:tc>
          <w:tcPr>
            <w:tcW w:w="992" w:type="dxa"/>
            <w:vAlign w:val="center"/>
          </w:tcPr>
          <w:p w14:paraId="00EC1E69">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单位</w:t>
            </w:r>
          </w:p>
        </w:tc>
        <w:tc>
          <w:tcPr>
            <w:tcW w:w="1276" w:type="dxa"/>
            <w:vAlign w:val="center"/>
          </w:tcPr>
          <w:p w14:paraId="6CE8E233">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含税单价（元）</w:t>
            </w:r>
          </w:p>
        </w:tc>
        <w:tc>
          <w:tcPr>
            <w:tcW w:w="1926" w:type="dxa"/>
            <w:vAlign w:val="center"/>
          </w:tcPr>
          <w:p w14:paraId="1CF17C08">
            <w:pPr>
              <w:tabs>
                <w:tab w:val="left" w:pos="540"/>
                <w:tab w:val="left" w:pos="1080"/>
              </w:tabs>
              <w:adjustRightInd w:val="0"/>
              <w:snapToGrid w:val="0"/>
              <w:spacing w:line="300" w:lineRule="auto"/>
              <w:jc w:val="center"/>
              <w:rPr>
                <w:rFonts w:hint="eastAsia" w:ascii="宋体" w:hAnsi="宋体"/>
                <w:b/>
                <w:bCs/>
                <w:szCs w:val="21"/>
              </w:rPr>
            </w:pPr>
            <w:r>
              <w:rPr>
                <w:rFonts w:hint="eastAsia" w:ascii="宋体" w:hAnsi="宋体"/>
                <w:b/>
                <w:bCs/>
                <w:szCs w:val="21"/>
              </w:rPr>
              <w:t>含税小计（元）</w:t>
            </w:r>
          </w:p>
        </w:tc>
      </w:tr>
      <w:tr w14:paraId="40B0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22F28ECC">
            <w:pPr>
              <w:tabs>
                <w:tab w:val="left" w:pos="540"/>
                <w:tab w:val="left" w:pos="1080"/>
              </w:tabs>
              <w:adjustRightInd w:val="0"/>
              <w:snapToGrid w:val="0"/>
              <w:spacing w:line="300" w:lineRule="auto"/>
              <w:jc w:val="left"/>
              <w:rPr>
                <w:rFonts w:hint="eastAsia" w:ascii="宋体" w:hAnsi="宋体"/>
                <w:b/>
                <w:bCs/>
                <w:szCs w:val="21"/>
              </w:rPr>
            </w:pPr>
            <w:r>
              <w:rPr>
                <w:rFonts w:hint="eastAsia" w:ascii="宋体" w:hAnsi="宋体"/>
                <w:b/>
                <w:bCs/>
                <w:szCs w:val="21"/>
              </w:rPr>
              <w:t>1</w:t>
            </w:r>
          </w:p>
        </w:tc>
        <w:tc>
          <w:tcPr>
            <w:tcW w:w="1307" w:type="dxa"/>
            <w:vAlign w:val="center"/>
          </w:tcPr>
          <w:p w14:paraId="2D35C2AB">
            <w:pPr>
              <w:snapToGrid w:val="0"/>
              <w:spacing w:line="300" w:lineRule="auto"/>
              <w:jc w:val="left"/>
              <w:rPr>
                <w:rFonts w:hint="eastAsia" w:ascii="宋体" w:hAnsi="宋体"/>
                <w:szCs w:val="21"/>
              </w:rPr>
            </w:pPr>
          </w:p>
        </w:tc>
        <w:tc>
          <w:tcPr>
            <w:tcW w:w="2268" w:type="dxa"/>
            <w:vAlign w:val="bottom"/>
          </w:tcPr>
          <w:p w14:paraId="2BD533C7">
            <w:pPr>
              <w:snapToGrid w:val="0"/>
              <w:spacing w:line="300" w:lineRule="auto"/>
              <w:jc w:val="left"/>
              <w:rPr>
                <w:rFonts w:hint="eastAsia" w:ascii="宋体" w:hAnsi="宋体" w:cs="Arial"/>
                <w:szCs w:val="21"/>
              </w:rPr>
            </w:pPr>
            <w:r>
              <w:rPr>
                <w:rFonts w:hint="eastAsia" w:ascii="宋体" w:hAnsi="宋体" w:cs="Arial"/>
                <w:szCs w:val="21"/>
              </w:rPr>
              <w:t xml:space="preserve"> </w:t>
            </w:r>
          </w:p>
        </w:tc>
        <w:tc>
          <w:tcPr>
            <w:tcW w:w="709" w:type="dxa"/>
            <w:vAlign w:val="center"/>
          </w:tcPr>
          <w:p w14:paraId="378C9DD2">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992" w:type="dxa"/>
            <w:vAlign w:val="center"/>
          </w:tcPr>
          <w:p w14:paraId="75E93706">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1276" w:type="dxa"/>
            <w:vAlign w:val="center"/>
          </w:tcPr>
          <w:p w14:paraId="64C30D70">
            <w:pPr>
              <w:snapToGrid w:val="0"/>
              <w:spacing w:line="300" w:lineRule="auto"/>
              <w:jc w:val="left"/>
              <w:rPr>
                <w:rFonts w:hint="eastAsia" w:ascii="宋体" w:hAnsi="宋体"/>
                <w:b/>
                <w:bCs/>
                <w:szCs w:val="21"/>
              </w:rPr>
            </w:pPr>
          </w:p>
        </w:tc>
        <w:tc>
          <w:tcPr>
            <w:tcW w:w="1926" w:type="dxa"/>
            <w:vAlign w:val="center"/>
          </w:tcPr>
          <w:p w14:paraId="0E4DDC26">
            <w:pPr>
              <w:snapToGrid w:val="0"/>
              <w:spacing w:line="300" w:lineRule="auto"/>
              <w:jc w:val="left"/>
              <w:rPr>
                <w:rFonts w:hint="eastAsia" w:ascii="宋体" w:hAnsi="宋体"/>
                <w:b/>
                <w:bCs/>
                <w:szCs w:val="21"/>
              </w:rPr>
            </w:pPr>
          </w:p>
        </w:tc>
      </w:tr>
      <w:tr w14:paraId="7B00B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0D3D8F28">
            <w:pPr>
              <w:tabs>
                <w:tab w:val="left" w:pos="540"/>
                <w:tab w:val="left" w:pos="1080"/>
              </w:tabs>
              <w:adjustRightInd w:val="0"/>
              <w:snapToGrid w:val="0"/>
              <w:spacing w:line="300" w:lineRule="auto"/>
              <w:jc w:val="left"/>
              <w:rPr>
                <w:rFonts w:hint="eastAsia" w:ascii="宋体" w:hAnsi="宋体"/>
                <w:b/>
                <w:bCs/>
                <w:szCs w:val="21"/>
              </w:rPr>
            </w:pPr>
            <w:r>
              <w:rPr>
                <w:rFonts w:hint="eastAsia" w:ascii="宋体" w:hAnsi="宋体"/>
                <w:b/>
                <w:bCs/>
                <w:szCs w:val="21"/>
              </w:rPr>
              <w:t>2</w:t>
            </w:r>
          </w:p>
        </w:tc>
        <w:tc>
          <w:tcPr>
            <w:tcW w:w="1307" w:type="dxa"/>
            <w:vAlign w:val="center"/>
          </w:tcPr>
          <w:p w14:paraId="71F42BD9">
            <w:pPr>
              <w:snapToGrid w:val="0"/>
              <w:spacing w:line="300" w:lineRule="auto"/>
              <w:jc w:val="left"/>
              <w:rPr>
                <w:rFonts w:hint="eastAsia" w:ascii="宋体" w:hAnsi="宋体"/>
                <w:szCs w:val="21"/>
              </w:rPr>
            </w:pPr>
          </w:p>
        </w:tc>
        <w:tc>
          <w:tcPr>
            <w:tcW w:w="2268" w:type="dxa"/>
            <w:vAlign w:val="bottom"/>
          </w:tcPr>
          <w:p w14:paraId="7B4668B2">
            <w:pPr>
              <w:snapToGrid w:val="0"/>
              <w:spacing w:line="300" w:lineRule="auto"/>
              <w:jc w:val="left"/>
              <w:rPr>
                <w:rFonts w:hint="eastAsia" w:ascii="宋体" w:hAnsi="宋体" w:cs="Arial"/>
                <w:szCs w:val="21"/>
              </w:rPr>
            </w:pPr>
          </w:p>
        </w:tc>
        <w:tc>
          <w:tcPr>
            <w:tcW w:w="709" w:type="dxa"/>
            <w:vAlign w:val="center"/>
          </w:tcPr>
          <w:p w14:paraId="7578AFF6">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992" w:type="dxa"/>
            <w:vAlign w:val="center"/>
          </w:tcPr>
          <w:p w14:paraId="4DE40197">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1276" w:type="dxa"/>
            <w:vAlign w:val="center"/>
          </w:tcPr>
          <w:p w14:paraId="1E8EBE4F">
            <w:pPr>
              <w:snapToGrid w:val="0"/>
              <w:spacing w:line="300" w:lineRule="auto"/>
              <w:jc w:val="left"/>
              <w:rPr>
                <w:rFonts w:hint="eastAsia" w:ascii="宋体" w:hAnsi="宋体"/>
                <w:b/>
                <w:bCs/>
                <w:szCs w:val="21"/>
              </w:rPr>
            </w:pPr>
          </w:p>
        </w:tc>
        <w:tc>
          <w:tcPr>
            <w:tcW w:w="1926" w:type="dxa"/>
            <w:vAlign w:val="center"/>
          </w:tcPr>
          <w:p w14:paraId="1492BDF1">
            <w:pPr>
              <w:snapToGrid w:val="0"/>
              <w:spacing w:line="300" w:lineRule="auto"/>
              <w:jc w:val="left"/>
              <w:rPr>
                <w:rFonts w:hint="eastAsia" w:ascii="宋体" w:hAnsi="宋体"/>
                <w:b/>
                <w:bCs/>
                <w:szCs w:val="21"/>
              </w:rPr>
            </w:pPr>
          </w:p>
        </w:tc>
      </w:tr>
      <w:tr w14:paraId="4C64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786" w:type="dxa"/>
            <w:vAlign w:val="center"/>
          </w:tcPr>
          <w:p w14:paraId="0314FDE1">
            <w:pPr>
              <w:tabs>
                <w:tab w:val="left" w:pos="540"/>
                <w:tab w:val="left" w:pos="1080"/>
              </w:tabs>
              <w:adjustRightInd w:val="0"/>
              <w:snapToGrid w:val="0"/>
              <w:spacing w:line="300" w:lineRule="auto"/>
              <w:jc w:val="left"/>
              <w:rPr>
                <w:rFonts w:hint="eastAsia" w:ascii="宋体" w:hAnsi="宋体"/>
                <w:b/>
                <w:bCs/>
                <w:szCs w:val="21"/>
              </w:rPr>
            </w:pPr>
            <w:r>
              <w:rPr>
                <w:rFonts w:hint="eastAsia" w:ascii="宋体" w:hAnsi="宋体"/>
                <w:b/>
                <w:bCs/>
                <w:szCs w:val="21"/>
              </w:rPr>
              <w:t>3</w:t>
            </w:r>
          </w:p>
        </w:tc>
        <w:tc>
          <w:tcPr>
            <w:tcW w:w="1307" w:type="dxa"/>
            <w:vAlign w:val="center"/>
          </w:tcPr>
          <w:p w14:paraId="28FA3F85">
            <w:pPr>
              <w:snapToGrid w:val="0"/>
              <w:spacing w:line="300" w:lineRule="auto"/>
              <w:jc w:val="left"/>
              <w:rPr>
                <w:rFonts w:hint="eastAsia" w:ascii="宋体" w:hAnsi="宋体"/>
                <w:szCs w:val="21"/>
              </w:rPr>
            </w:pPr>
          </w:p>
        </w:tc>
        <w:tc>
          <w:tcPr>
            <w:tcW w:w="2268" w:type="dxa"/>
            <w:vAlign w:val="bottom"/>
          </w:tcPr>
          <w:p w14:paraId="7110FA2B">
            <w:pPr>
              <w:snapToGrid w:val="0"/>
              <w:spacing w:line="300" w:lineRule="auto"/>
              <w:jc w:val="left"/>
              <w:rPr>
                <w:rFonts w:hint="eastAsia" w:ascii="宋体" w:hAnsi="宋体"/>
                <w:szCs w:val="21"/>
              </w:rPr>
            </w:pPr>
          </w:p>
        </w:tc>
        <w:tc>
          <w:tcPr>
            <w:tcW w:w="709" w:type="dxa"/>
            <w:vAlign w:val="center"/>
          </w:tcPr>
          <w:p w14:paraId="7573E5CB">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992" w:type="dxa"/>
            <w:vAlign w:val="center"/>
          </w:tcPr>
          <w:p w14:paraId="7850C92A">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1276" w:type="dxa"/>
            <w:vAlign w:val="center"/>
          </w:tcPr>
          <w:p w14:paraId="45E18E08">
            <w:pPr>
              <w:snapToGrid w:val="0"/>
              <w:spacing w:line="300" w:lineRule="auto"/>
              <w:jc w:val="left"/>
              <w:rPr>
                <w:rFonts w:hint="eastAsia" w:ascii="宋体" w:hAnsi="宋体"/>
                <w:b/>
                <w:bCs/>
                <w:szCs w:val="21"/>
              </w:rPr>
            </w:pPr>
          </w:p>
        </w:tc>
        <w:tc>
          <w:tcPr>
            <w:tcW w:w="1926" w:type="dxa"/>
            <w:vAlign w:val="center"/>
          </w:tcPr>
          <w:p w14:paraId="064241ED">
            <w:pPr>
              <w:snapToGrid w:val="0"/>
              <w:spacing w:line="300" w:lineRule="auto"/>
              <w:jc w:val="left"/>
              <w:rPr>
                <w:rFonts w:hint="eastAsia" w:ascii="宋体" w:hAnsi="宋体"/>
                <w:b/>
                <w:bCs/>
                <w:szCs w:val="21"/>
              </w:rPr>
            </w:pPr>
          </w:p>
        </w:tc>
      </w:tr>
      <w:tr w14:paraId="3E77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237E5EAB">
            <w:pPr>
              <w:tabs>
                <w:tab w:val="left" w:pos="540"/>
                <w:tab w:val="left" w:pos="1080"/>
              </w:tabs>
              <w:adjustRightInd w:val="0"/>
              <w:snapToGrid w:val="0"/>
              <w:spacing w:line="300" w:lineRule="auto"/>
              <w:jc w:val="left"/>
              <w:rPr>
                <w:rFonts w:hint="eastAsia" w:ascii="宋体" w:hAnsi="宋体"/>
                <w:b/>
                <w:bCs/>
                <w:szCs w:val="21"/>
              </w:rPr>
            </w:pPr>
            <w:r>
              <w:rPr>
                <w:rFonts w:ascii="宋体" w:hAnsi="宋体"/>
                <w:b/>
                <w:bCs/>
                <w:szCs w:val="21"/>
              </w:rPr>
              <w:t>…</w:t>
            </w:r>
          </w:p>
        </w:tc>
        <w:tc>
          <w:tcPr>
            <w:tcW w:w="1307" w:type="dxa"/>
            <w:vAlign w:val="center"/>
          </w:tcPr>
          <w:p w14:paraId="0643F117">
            <w:pPr>
              <w:snapToGrid w:val="0"/>
              <w:spacing w:line="300" w:lineRule="auto"/>
              <w:jc w:val="left"/>
              <w:rPr>
                <w:rFonts w:hint="eastAsia" w:ascii="宋体" w:hAnsi="宋体"/>
                <w:szCs w:val="21"/>
              </w:rPr>
            </w:pPr>
          </w:p>
        </w:tc>
        <w:tc>
          <w:tcPr>
            <w:tcW w:w="2268" w:type="dxa"/>
            <w:vAlign w:val="center"/>
          </w:tcPr>
          <w:p w14:paraId="439D672B">
            <w:pPr>
              <w:snapToGrid w:val="0"/>
              <w:spacing w:line="300" w:lineRule="auto"/>
              <w:jc w:val="left"/>
              <w:rPr>
                <w:rFonts w:hint="eastAsia" w:ascii="宋体" w:hAnsi="宋体"/>
                <w:szCs w:val="21"/>
              </w:rPr>
            </w:pPr>
          </w:p>
        </w:tc>
        <w:tc>
          <w:tcPr>
            <w:tcW w:w="709" w:type="dxa"/>
            <w:vAlign w:val="center"/>
          </w:tcPr>
          <w:p w14:paraId="7BED7203">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992" w:type="dxa"/>
            <w:vAlign w:val="center"/>
          </w:tcPr>
          <w:p w14:paraId="543D03D5">
            <w:pPr>
              <w:tabs>
                <w:tab w:val="left" w:pos="540"/>
                <w:tab w:val="left" w:pos="1080"/>
              </w:tabs>
              <w:adjustRightInd w:val="0"/>
              <w:snapToGrid w:val="0"/>
              <w:spacing w:line="300" w:lineRule="auto"/>
              <w:ind w:firstLine="316" w:firstLineChars="150"/>
              <w:jc w:val="left"/>
              <w:rPr>
                <w:rFonts w:hint="eastAsia" w:ascii="宋体" w:hAnsi="宋体"/>
                <w:b/>
                <w:bCs/>
                <w:szCs w:val="21"/>
              </w:rPr>
            </w:pPr>
          </w:p>
        </w:tc>
        <w:tc>
          <w:tcPr>
            <w:tcW w:w="1276" w:type="dxa"/>
            <w:vAlign w:val="center"/>
          </w:tcPr>
          <w:p w14:paraId="4560F8C8">
            <w:pPr>
              <w:snapToGrid w:val="0"/>
              <w:spacing w:line="300" w:lineRule="auto"/>
              <w:jc w:val="left"/>
              <w:rPr>
                <w:rFonts w:hint="eastAsia" w:ascii="宋体" w:hAnsi="宋体"/>
                <w:b/>
                <w:bCs/>
                <w:szCs w:val="21"/>
              </w:rPr>
            </w:pPr>
          </w:p>
        </w:tc>
        <w:tc>
          <w:tcPr>
            <w:tcW w:w="1926" w:type="dxa"/>
            <w:vAlign w:val="center"/>
          </w:tcPr>
          <w:p w14:paraId="2D82D45A">
            <w:pPr>
              <w:snapToGrid w:val="0"/>
              <w:spacing w:line="300" w:lineRule="auto"/>
              <w:jc w:val="left"/>
              <w:rPr>
                <w:rFonts w:hint="eastAsia" w:ascii="宋体" w:hAnsi="宋体"/>
                <w:b/>
                <w:bCs/>
                <w:szCs w:val="21"/>
              </w:rPr>
            </w:pPr>
          </w:p>
        </w:tc>
      </w:tr>
      <w:tr w14:paraId="7251C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338" w:type="dxa"/>
            <w:gridSpan w:val="6"/>
            <w:vAlign w:val="center"/>
          </w:tcPr>
          <w:p w14:paraId="650E249D">
            <w:pPr>
              <w:snapToGrid w:val="0"/>
              <w:spacing w:line="300" w:lineRule="auto"/>
              <w:jc w:val="center"/>
              <w:rPr>
                <w:rFonts w:hint="eastAsia" w:ascii="宋体" w:hAnsi="宋体"/>
                <w:b/>
                <w:bCs/>
                <w:szCs w:val="21"/>
              </w:rPr>
            </w:pPr>
            <w:r>
              <w:rPr>
                <w:rFonts w:hint="eastAsia" w:ascii="宋体" w:hAnsi="宋体"/>
                <w:b/>
                <w:bCs/>
                <w:szCs w:val="21"/>
              </w:rPr>
              <w:t>含税合计（元）</w:t>
            </w:r>
          </w:p>
        </w:tc>
        <w:tc>
          <w:tcPr>
            <w:tcW w:w="1926" w:type="dxa"/>
            <w:vAlign w:val="center"/>
          </w:tcPr>
          <w:p w14:paraId="25C00FBF">
            <w:pPr>
              <w:snapToGrid w:val="0"/>
              <w:spacing w:line="300" w:lineRule="auto"/>
              <w:jc w:val="left"/>
              <w:rPr>
                <w:rFonts w:hint="eastAsia" w:ascii="宋体" w:hAnsi="宋体"/>
                <w:b/>
                <w:bCs/>
                <w:szCs w:val="21"/>
              </w:rPr>
            </w:pPr>
          </w:p>
        </w:tc>
      </w:tr>
      <w:tr w14:paraId="5D7A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9264" w:type="dxa"/>
            <w:gridSpan w:val="7"/>
            <w:vAlign w:val="center"/>
          </w:tcPr>
          <w:p w14:paraId="002C6DD8">
            <w:pPr>
              <w:snapToGrid w:val="0"/>
              <w:spacing w:line="300" w:lineRule="auto"/>
              <w:rPr>
                <w:rFonts w:hint="eastAsia" w:ascii="宋体" w:hAnsi="宋体"/>
                <w:b/>
                <w:bCs/>
                <w:szCs w:val="21"/>
              </w:rPr>
            </w:pPr>
            <w:r>
              <w:rPr>
                <w:rFonts w:hint="eastAsia" w:ascii="宋体" w:hAnsi="宋体"/>
                <w:b/>
                <w:bCs/>
                <w:szCs w:val="21"/>
              </w:rPr>
              <w:t>人民币（大写）：</w:t>
            </w:r>
            <w:r>
              <w:rPr>
                <w:rFonts w:hint="eastAsia" w:ascii="宋体" w:hAnsi="宋体"/>
                <w:szCs w:val="21"/>
                <w:u w:val="single"/>
              </w:rPr>
              <w:t xml:space="preserve">           </w:t>
            </w:r>
          </w:p>
        </w:tc>
      </w:tr>
      <w:tr w14:paraId="6CFA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9264" w:type="dxa"/>
            <w:gridSpan w:val="7"/>
            <w:vAlign w:val="center"/>
          </w:tcPr>
          <w:p w14:paraId="44897303">
            <w:pPr>
              <w:snapToGrid w:val="0"/>
              <w:spacing w:line="300" w:lineRule="auto"/>
              <w:rPr>
                <w:rFonts w:hint="eastAsia" w:ascii="宋体" w:hAnsi="宋体"/>
                <w:b/>
                <w:bCs/>
                <w:szCs w:val="21"/>
              </w:rPr>
            </w:pPr>
            <w:r>
              <w:rPr>
                <w:rFonts w:hint="eastAsia" w:ascii="宋体" w:hAnsi="宋体"/>
                <w:b/>
                <w:bCs/>
                <w:szCs w:val="21"/>
              </w:rPr>
              <w:t>以上总价含税XX%,不含税金额XX元，税额XX元。</w:t>
            </w:r>
          </w:p>
        </w:tc>
      </w:tr>
    </w:tbl>
    <w:p w14:paraId="4566A9C4">
      <w:pPr>
        <w:snapToGrid w:val="0"/>
        <w:spacing w:line="360" w:lineRule="auto"/>
        <w:ind w:firstLine="340" w:firstLineChars="162"/>
        <w:rPr>
          <w:rFonts w:hint="eastAsia" w:ascii="宋体" w:hAnsi="宋体"/>
          <w:szCs w:val="21"/>
        </w:rPr>
      </w:pPr>
      <w:r>
        <w:rPr>
          <w:rFonts w:hint="eastAsia" w:ascii="宋体" w:hAnsi="宋体"/>
          <w:szCs w:val="21"/>
        </w:rPr>
        <w:t>技术规范详细要求见招标文件。</w:t>
      </w:r>
    </w:p>
    <w:p w14:paraId="01207F96">
      <w:pPr>
        <w:snapToGrid w:val="0"/>
        <w:spacing w:line="360" w:lineRule="auto"/>
        <w:ind w:firstLine="340" w:firstLineChars="162"/>
        <w:rPr>
          <w:rFonts w:hint="eastAsia" w:ascii="宋体" w:hAnsi="宋体"/>
          <w:szCs w:val="21"/>
        </w:rPr>
      </w:pPr>
      <w:r>
        <w:rPr>
          <w:rFonts w:hint="eastAsia" w:ascii="宋体" w:hAnsi="宋体"/>
          <w:szCs w:val="21"/>
        </w:rPr>
        <w:t>3、乙方的所有供货及服务必须使安装后的货物完全满足用户需求书的要求。</w:t>
      </w:r>
    </w:p>
    <w:p w14:paraId="1A724128">
      <w:pPr>
        <w:snapToGrid w:val="0"/>
        <w:spacing w:line="360" w:lineRule="auto"/>
        <w:ind w:firstLine="340" w:firstLineChars="162"/>
        <w:rPr>
          <w:rFonts w:hint="eastAsia" w:ascii="宋体" w:hAnsi="宋体"/>
          <w:szCs w:val="21"/>
        </w:rPr>
      </w:pPr>
      <w:r>
        <w:rPr>
          <w:rFonts w:hint="eastAsia" w:ascii="宋体" w:hAnsi="宋体"/>
          <w:szCs w:val="21"/>
        </w:rPr>
        <w:t>4、乙方为甲方设计制造并提供货物所需的其他辅助货物及材料。</w:t>
      </w:r>
    </w:p>
    <w:p w14:paraId="57DA4FF8">
      <w:pPr>
        <w:snapToGrid w:val="0"/>
        <w:spacing w:line="360" w:lineRule="auto"/>
        <w:ind w:firstLine="340" w:firstLineChars="162"/>
        <w:rPr>
          <w:rFonts w:hint="eastAsia" w:ascii="宋体" w:hAnsi="宋体"/>
          <w:szCs w:val="21"/>
        </w:rPr>
      </w:pPr>
      <w:r>
        <w:rPr>
          <w:rFonts w:hint="eastAsia" w:ascii="宋体" w:hAnsi="宋体"/>
          <w:szCs w:val="21"/>
        </w:rPr>
        <w:t>5、双方同意附件中各项条款为合同不可分割的部分，若附件与合同正文有任何不一致，以合同正文为准。</w:t>
      </w:r>
    </w:p>
    <w:p w14:paraId="332973D9">
      <w:pPr>
        <w:autoSpaceDE w:val="0"/>
        <w:autoSpaceDN w:val="0"/>
        <w:adjustRightInd w:val="0"/>
        <w:snapToGrid w:val="0"/>
        <w:spacing w:line="360" w:lineRule="auto"/>
        <w:jc w:val="left"/>
        <w:rPr>
          <w:rFonts w:hint="eastAsia" w:ascii="宋体" w:hAnsi="宋体" w:cs="宋体"/>
          <w:kern w:val="0"/>
          <w:szCs w:val="21"/>
        </w:rPr>
      </w:pPr>
    </w:p>
    <w:p w14:paraId="6BAA9BCF">
      <w:pPr>
        <w:snapToGrid w:val="0"/>
        <w:spacing w:line="360" w:lineRule="auto"/>
        <w:ind w:firstLine="422" w:firstLineChars="200"/>
        <w:outlineLvl w:val="2"/>
        <w:rPr>
          <w:rFonts w:hint="eastAsia" w:ascii="宋体" w:hAnsi="宋体"/>
          <w:b/>
          <w:szCs w:val="21"/>
        </w:rPr>
      </w:pPr>
      <w:r>
        <w:rPr>
          <w:rFonts w:hint="eastAsia" w:ascii="宋体" w:hAnsi="宋体"/>
          <w:b/>
          <w:szCs w:val="21"/>
        </w:rPr>
        <w:t>第二条 合同价格</w:t>
      </w:r>
    </w:p>
    <w:p w14:paraId="1C698C4C">
      <w:pPr>
        <w:shd w:val="clear" w:color="auto" w:fill="FFFFFF"/>
        <w:snapToGrid w:val="0"/>
        <w:spacing w:line="360" w:lineRule="auto"/>
        <w:ind w:left="840"/>
        <w:jc w:val="left"/>
        <w:rPr>
          <w:rFonts w:hint="eastAsia" w:ascii="宋体" w:hAnsi="宋体" w:cs="宋体"/>
          <w:szCs w:val="21"/>
        </w:rPr>
      </w:pPr>
      <w:r>
        <w:rPr>
          <w:rFonts w:hint="eastAsia" w:ascii="宋体" w:hAnsi="宋体" w:cs="宋体"/>
          <w:szCs w:val="21"/>
        </w:rPr>
        <w:t>本合同含税总价为大写：人民币</w:t>
      </w:r>
      <w:r>
        <w:rPr>
          <w:rFonts w:ascii="宋体" w:hAnsi="宋体" w:cs="宋体"/>
          <w:b/>
          <w:szCs w:val="21"/>
          <w:u w:val="single"/>
        </w:rPr>
        <w:t xml:space="preserve">       </w:t>
      </w:r>
      <w:r>
        <w:rPr>
          <w:rFonts w:hint="eastAsia" w:ascii="宋体" w:hAnsi="宋体" w:cs="宋体"/>
          <w:szCs w:val="21"/>
        </w:rPr>
        <w:t>大写：人民币</w:t>
      </w:r>
      <w:r>
        <w:rPr>
          <w:rFonts w:ascii="宋体" w:hAnsi="宋体" w:cs="宋体"/>
          <w:bCs/>
          <w:szCs w:val="21"/>
          <w:u w:val="single"/>
        </w:rPr>
        <w:t xml:space="preserve">     </w:t>
      </w:r>
      <w:r>
        <w:rPr>
          <w:rFonts w:hint="eastAsia" w:ascii="宋体" w:hAnsi="宋体" w:cs="宋体"/>
          <w:bCs/>
          <w:szCs w:val="21"/>
          <w:u w:val="single"/>
        </w:rPr>
        <w:t xml:space="preserve">                 </w:t>
      </w:r>
      <w:r>
        <w:rPr>
          <w:rFonts w:ascii="宋体" w:hAnsi="宋体" w:cs="宋体"/>
          <w:bCs/>
          <w:szCs w:val="21"/>
          <w:u w:val="single"/>
        </w:rPr>
        <w:t xml:space="preserve"> </w:t>
      </w:r>
      <w:r>
        <w:rPr>
          <w:rFonts w:hint="eastAsia" w:ascii="宋体" w:hAnsi="宋体" w:cs="宋体"/>
          <w:bCs/>
          <w:szCs w:val="21"/>
        </w:rPr>
        <w:t>，</w:t>
      </w:r>
      <w:r>
        <w:rPr>
          <w:rFonts w:hint="eastAsia" w:ascii="宋体" w:hAnsi="宋体" w:cs="宋体"/>
          <w:szCs w:val="21"/>
        </w:rPr>
        <w:t>（</w:t>
      </w:r>
      <w:r>
        <w:rPr>
          <w:rFonts w:ascii="宋体" w:hAnsi="宋体" w:cs="宋体"/>
          <w:b/>
          <w:szCs w:val="21"/>
          <w:u w:val="single"/>
        </w:rPr>
        <w:t xml:space="preserve">   </w:t>
      </w:r>
      <w:r>
        <w:rPr>
          <w:rFonts w:hint="eastAsia" w:ascii="宋体" w:hAnsi="宋体" w:cs="宋体"/>
          <w:b/>
          <w:szCs w:val="21"/>
          <w:u w:val="single"/>
        </w:rPr>
        <w:t xml:space="preserve">  </w:t>
      </w:r>
      <w:r>
        <w:rPr>
          <w:rFonts w:ascii="宋体" w:hAnsi="宋体" w:cs="宋体"/>
          <w:b/>
          <w:szCs w:val="21"/>
          <w:u w:val="single"/>
        </w:rPr>
        <w:t xml:space="preserve">    </w:t>
      </w:r>
      <w:r>
        <w:rPr>
          <w:rFonts w:hint="eastAsia" w:ascii="宋体" w:hAnsi="宋体" w:cs="宋体"/>
          <w:bCs/>
          <w:szCs w:val="21"/>
          <w:u w:val="single"/>
        </w:rPr>
        <w:t>元</w:t>
      </w:r>
      <w:r>
        <w:rPr>
          <w:rFonts w:ascii="宋体" w:hAnsi="宋体" w:cs="宋体"/>
          <w:bCs/>
          <w:szCs w:val="21"/>
          <w:u w:val="single"/>
        </w:rPr>
        <w:t xml:space="preserve"> </w:t>
      </w:r>
      <w:r>
        <w:rPr>
          <w:rFonts w:hint="eastAsia" w:ascii="宋体" w:hAnsi="宋体" w:cs="宋体"/>
          <w:szCs w:val="21"/>
        </w:rPr>
        <w:t>）。详见合同附件。</w:t>
      </w:r>
    </w:p>
    <w:p w14:paraId="182204F4">
      <w:pPr>
        <w:snapToGrid w:val="0"/>
        <w:spacing w:line="360" w:lineRule="auto"/>
        <w:ind w:firstLine="422" w:firstLineChars="200"/>
        <w:outlineLvl w:val="2"/>
        <w:rPr>
          <w:rFonts w:hint="eastAsia" w:ascii="宋体" w:hAnsi="宋体"/>
          <w:b/>
          <w:szCs w:val="21"/>
        </w:rPr>
      </w:pPr>
      <w:r>
        <w:rPr>
          <w:rFonts w:hint="eastAsia" w:ascii="宋体" w:hAnsi="宋体"/>
          <w:b/>
          <w:szCs w:val="21"/>
        </w:rPr>
        <w:t>第三条 付款方式</w:t>
      </w:r>
    </w:p>
    <w:p w14:paraId="01DAEC3B">
      <w:pPr>
        <w:spacing w:line="56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合同签订后,甲方在5个工作日内向乙方转账支付30%合同款作为定金，即</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元人民币（大写：）；乙方完成送货安装并经双方验收合格后，甲方凭乙方开出的全额发票在10个工作日内向乙方转账支付6</w:t>
      </w: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%合同款（含安全保证金），即</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元人民币（大写：）；剩余</w:t>
      </w: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%合同款作为质保金</w:t>
      </w:r>
      <w:r>
        <w:rPr>
          <w:rFonts w:hint="eastAsia" w:asciiTheme="minorEastAsia" w:hAnsiTheme="minorEastAsia" w:eastAsiaTheme="minorEastAsia" w:cstheme="minorEastAsia"/>
          <w:szCs w:val="21"/>
          <w:lang w:val="en-US" w:eastAsia="zh-CN"/>
        </w:rPr>
        <w:t>一年</w:t>
      </w:r>
      <w:r>
        <w:rPr>
          <w:rFonts w:hint="eastAsia" w:asciiTheme="minorEastAsia" w:hAnsiTheme="minorEastAsia" w:eastAsiaTheme="minorEastAsia" w:cstheme="minorEastAsia"/>
          <w:szCs w:val="21"/>
        </w:rPr>
        <w:t>后由甲方无息转账至乙方账户。</w:t>
      </w:r>
    </w:p>
    <w:p w14:paraId="0658924F">
      <w:pPr>
        <w:autoSpaceDE w:val="0"/>
        <w:autoSpaceDN w:val="0"/>
        <w:adjustRightInd w:val="0"/>
        <w:snapToGrid w:val="0"/>
        <w:spacing w:line="360" w:lineRule="auto"/>
        <w:jc w:val="left"/>
        <w:rPr>
          <w:rFonts w:hint="eastAsia" w:ascii="宋体" w:hAnsi="宋体" w:cs="宋体"/>
          <w:kern w:val="0"/>
          <w:szCs w:val="21"/>
        </w:rPr>
      </w:pPr>
    </w:p>
    <w:p w14:paraId="493EF8CD">
      <w:pPr>
        <w:snapToGrid w:val="0"/>
        <w:spacing w:line="360" w:lineRule="auto"/>
        <w:ind w:firstLine="422" w:firstLineChars="200"/>
        <w:outlineLvl w:val="2"/>
        <w:rPr>
          <w:rFonts w:hint="eastAsia" w:ascii="宋体" w:hAnsi="宋体"/>
          <w:b/>
          <w:szCs w:val="21"/>
        </w:rPr>
      </w:pPr>
      <w:r>
        <w:rPr>
          <w:rFonts w:hint="eastAsia" w:ascii="宋体" w:hAnsi="宋体"/>
          <w:b/>
          <w:szCs w:val="21"/>
        </w:rPr>
        <w:t>第四条 交货与验收</w:t>
      </w:r>
    </w:p>
    <w:p w14:paraId="06CFC262">
      <w:pPr>
        <w:snapToGrid w:val="0"/>
        <w:spacing w:line="360" w:lineRule="auto"/>
        <w:ind w:firstLine="340" w:firstLineChars="162"/>
        <w:rPr>
          <w:rFonts w:hint="eastAsia" w:ascii="宋体" w:hAnsi="宋体"/>
          <w:szCs w:val="21"/>
        </w:rPr>
      </w:pPr>
      <w:r>
        <w:rPr>
          <w:rFonts w:hint="eastAsia" w:ascii="宋体" w:hAnsi="宋体"/>
          <w:szCs w:val="21"/>
        </w:rPr>
        <w:t>1．交货期：</w:t>
      </w:r>
      <w:r>
        <w:rPr>
          <w:rFonts w:hint="eastAsia" w:ascii="宋体" w:hAnsi="宋体" w:cs="宋体"/>
          <w:b/>
          <w:szCs w:val="21"/>
        </w:rPr>
        <w:t>本项目总工期为</w:t>
      </w:r>
      <w:r>
        <w:rPr>
          <w:rFonts w:hint="eastAsia" w:ascii="宋体" w:hAnsi="宋体" w:cs="宋体"/>
          <w:b/>
          <w:szCs w:val="21"/>
          <w:u w:val="single"/>
        </w:rPr>
        <w:t>30</w:t>
      </w:r>
      <w:r>
        <w:rPr>
          <w:rFonts w:hint="eastAsia" w:ascii="宋体" w:hAnsi="宋体" w:cs="宋体"/>
          <w:b/>
          <w:szCs w:val="21"/>
        </w:rPr>
        <w:t>天，</w:t>
      </w:r>
      <w:r>
        <w:rPr>
          <w:rFonts w:hint="eastAsia" w:ascii="宋体" w:hAnsi="宋体"/>
          <w:kern w:val="0"/>
          <w:szCs w:val="21"/>
          <w:lang w:eastAsia="zh-HK"/>
        </w:rPr>
        <w:t>对于实际交货期的起止时间，</w:t>
      </w:r>
      <w:r>
        <w:rPr>
          <w:rFonts w:hint="eastAsia" w:ascii="宋体" w:hAnsi="宋体"/>
          <w:kern w:val="0"/>
          <w:szCs w:val="21"/>
        </w:rPr>
        <w:t>甲方</w:t>
      </w:r>
      <w:r>
        <w:rPr>
          <w:rFonts w:hint="eastAsia" w:ascii="宋体" w:hAnsi="宋体"/>
          <w:kern w:val="0"/>
          <w:szCs w:val="21"/>
          <w:lang w:eastAsia="zh-HK"/>
        </w:rPr>
        <w:t>有权根据实际项目需要作相应调整，</w:t>
      </w:r>
      <w:r>
        <w:rPr>
          <w:rFonts w:hint="eastAsia" w:ascii="宋体" w:hAnsi="宋体"/>
          <w:kern w:val="0"/>
          <w:szCs w:val="21"/>
        </w:rPr>
        <w:t>乙方</w:t>
      </w:r>
      <w:r>
        <w:rPr>
          <w:rFonts w:hint="eastAsia" w:ascii="宋体" w:hAnsi="宋体"/>
          <w:kern w:val="0"/>
          <w:szCs w:val="21"/>
          <w:lang w:eastAsia="zh-HK"/>
        </w:rPr>
        <w:t>应考虑相关风险并尽一切可能配合</w:t>
      </w:r>
      <w:r>
        <w:rPr>
          <w:rFonts w:hint="eastAsia" w:ascii="宋体" w:hAnsi="宋体"/>
          <w:kern w:val="0"/>
          <w:szCs w:val="21"/>
        </w:rPr>
        <w:t>甲方</w:t>
      </w:r>
      <w:r>
        <w:rPr>
          <w:rFonts w:hint="eastAsia" w:ascii="宋体" w:hAnsi="宋体"/>
          <w:kern w:val="0"/>
          <w:szCs w:val="21"/>
          <w:lang w:eastAsia="zh-HK"/>
        </w:rPr>
        <w:t>调整相应的执行计划，并不得以交货期起止时间变动为由要求调整合同价格。</w:t>
      </w:r>
    </w:p>
    <w:p w14:paraId="6C26CFFE">
      <w:pPr>
        <w:snapToGrid w:val="0"/>
        <w:spacing w:line="360" w:lineRule="auto"/>
        <w:ind w:firstLine="340" w:firstLineChars="162"/>
        <w:rPr>
          <w:rFonts w:hint="eastAsia" w:ascii="宋体" w:hAnsi="宋体"/>
          <w:szCs w:val="21"/>
        </w:rPr>
      </w:pPr>
      <w:r>
        <w:rPr>
          <w:rFonts w:hint="eastAsia" w:ascii="宋体" w:hAnsi="宋体"/>
          <w:szCs w:val="21"/>
        </w:rPr>
        <w:t>2．交货地点：</w:t>
      </w:r>
      <w:r>
        <w:rPr>
          <w:rFonts w:hint="eastAsia" w:ascii="宋体" w:hAnsi="宋体" w:cs="宋体"/>
          <w:b/>
          <w:bCs/>
          <w:szCs w:val="21"/>
          <w:u w:val="single"/>
        </w:rPr>
        <w:t xml:space="preserve">                  </w:t>
      </w:r>
      <w:r>
        <w:rPr>
          <w:rFonts w:ascii="宋体" w:hAnsi="宋体"/>
          <w:szCs w:val="21"/>
        </w:rPr>
        <w:t xml:space="preserve"> </w:t>
      </w:r>
    </w:p>
    <w:p w14:paraId="7BA733BC">
      <w:pPr>
        <w:snapToGrid w:val="0"/>
        <w:spacing w:line="360" w:lineRule="auto"/>
        <w:ind w:firstLine="340" w:firstLineChars="162"/>
        <w:rPr>
          <w:rFonts w:hint="eastAsia" w:ascii="宋体" w:hAnsi="宋体"/>
          <w:szCs w:val="21"/>
        </w:rPr>
      </w:pPr>
      <w:r>
        <w:rPr>
          <w:rFonts w:hint="eastAsia" w:ascii="宋体" w:hAnsi="宋体"/>
          <w:szCs w:val="21"/>
        </w:rPr>
        <w:t>3．货样要求：乙方须在合同货物批量生产前，将各规格的货样各一套送至甲方指定地点进行货样验收，只有货样通过验收后才能按照不低于该货样的标准进行后续货物批量生产，该货样可作为合同货物部分。</w:t>
      </w:r>
    </w:p>
    <w:p w14:paraId="400E4342">
      <w:pPr>
        <w:snapToGrid w:val="0"/>
        <w:spacing w:line="360" w:lineRule="auto"/>
        <w:ind w:firstLine="340" w:firstLineChars="162"/>
        <w:rPr>
          <w:rFonts w:hint="eastAsia" w:ascii="宋体" w:hAnsi="宋体"/>
          <w:szCs w:val="21"/>
        </w:rPr>
      </w:pPr>
      <w:r>
        <w:rPr>
          <w:rFonts w:hint="eastAsia" w:ascii="宋体" w:hAnsi="宋体"/>
          <w:szCs w:val="21"/>
        </w:rPr>
        <w:t>4．工厂验货要求：甲方可在合同货物生产的任意时间里去乙方工厂进行参观检验，主要考察合同货物的生产工艺及材料是否符合双方约定标准，甲方将提前一天通知乙方，在不影响乙方生产的前提下进行工厂验货。如工厂验货未达到双方约定标准，乙方有责任按照甲方提出的相关问题进行整改直至达到双方约定标准。</w:t>
      </w:r>
    </w:p>
    <w:p w14:paraId="1DF9C24F">
      <w:pPr>
        <w:snapToGrid w:val="0"/>
        <w:spacing w:line="360" w:lineRule="auto"/>
        <w:ind w:firstLine="340" w:firstLineChars="162"/>
        <w:rPr>
          <w:rFonts w:hint="eastAsia" w:ascii="宋体" w:hAnsi="宋体"/>
          <w:szCs w:val="21"/>
        </w:rPr>
      </w:pPr>
      <w:r>
        <w:rPr>
          <w:rFonts w:hint="eastAsia" w:ascii="宋体" w:hAnsi="宋体"/>
          <w:szCs w:val="21"/>
        </w:rPr>
        <w:t>5．乙方将货物运至交货地点。并于到货前24小时将到货名称、型号、数量、外形尺寸、单重及注意事项等，以书面形式通知甲方。</w:t>
      </w:r>
    </w:p>
    <w:p w14:paraId="363BC200">
      <w:pPr>
        <w:snapToGrid w:val="0"/>
        <w:spacing w:line="360" w:lineRule="auto"/>
        <w:ind w:firstLine="340" w:firstLineChars="162"/>
        <w:rPr>
          <w:rFonts w:hint="eastAsia" w:ascii="宋体" w:hAnsi="宋体"/>
          <w:szCs w:val="21"/>
        </w:rPr>
      </w:pPr>
      <w:r>
        <w:rPr>
          <w:rFonts w:hint="eastAsia" w:ascii="宋体" w:hAnsi="宋体"/>
          <w:szCs w:val="21"/>
        </w:rPr>
        <w:t>6．货物包装应符合国家标准，以保证货物在运输过程中不受损伤，由于包装不当造成货物在运输过程中有任何损坏或丢失，由乙方负责。</w:t>
      </w:r>
    </w:p>
    <w:p w14:paraId="583C4C22">
      <w:pPr>
        <w:snapToGrid w:val="0"/>
        <w:spacing w:line="360" w:lineRule="auto"/>
        <w:ind w:firstLine="340" w:firstLineChars="162"/>
        <w:rPr>
          <w:rFonts w:hint="eastAsia" w:ascii="宋体" w:hAnsi="宋体"/>
          <w:szCs w:val="21"/>
        </w:rPr>
      </w:pPr>
      <w:r>
        <w:rPr>
          <w:rFonts w:hint="eastAsia" w:ascii="宋体" w:hAnsi="宋体"/>
          <w:szCs w:val="21"/>
        </w:rPr>
        <w:t>7．货物由乙方负责送到施工现场，由乙方负责运输、卸车。货物在搬运过程中损坏了甲方设备、设施，由乙方负责修复。</w:t>
      </w:r>
    </w:p>
    <w:p w14:paraId="57FF674C">
      <w:pPr>
        <w:snapToGrid w:val="0"/>
        <w:spacing w:line="360" w:lineRule="auto"/>
        <w:ind w:firstLine="340" w:firstLineChars="162"/>
        <w:rPr>
          <w:rFonts w:hint="eastAsia" w:ascii="宋体" w:hAnsi="宋体"/>
          <w:szCs w:val="21"/>
        </w:rPr>
      </w:pPr>
      <w:r>
        <w:rPr>
          <w:rFonts w:hint="eastAsia" w:ascii="宋体" w:hAnsi="宋体"/>
          <w:szCs w:val="21"/>
        </w:rPr>
        <w:t>8．货物到达现场，买卖双方均须在场并确认包装的完好性后，由甲方对货物进行清点验收，并签字确认。若发现货物与装箱单不符，乙方负责补齐或更换。</w:t>
      </w:r>
    </w:p>
    <w:p w14:paraId="6AC5E107">
      <w:pPr>
        <w:snapToGrid w:val="0"/>
        <w:spacing w:line="360" w:lineRule="auto"/>
        <w:ind w:firstLine="340" w:firstLineChars="162"/>
        <w:rPr>
          <w:rFonts w:hint="eastAsia" w:ascii="宋体" w:hAnsi="宋体"/>
          <w:szCs w:val="21"/>
        </w:rPr>
      </w:pPr>
      <w:r>
        <w:rPr>
          <w:rFonts w:hint="eastAsia" w:ascii="宋体" w:hAnsi="宋体"/>
          <w:szCs w:val="21"/>
        </w:rPr>
        <w:t>9．乙方按照甲方书面通知的时间负责货物安装及调试，直至货物正常使用。最终验收在此后15天内进行，验收合格买卖双方签名确认。如甲方接到乙方验收通知15天内不组织验收，乙方可视为货物验收合格，甲方不得提出异议。如货物不能通过验收，甲方有权要求退货，乙方退还甲方所有已付款项。</w:t>
      </w:r>
    </w:p>
    <w:p w14:paraId="23CAA1FD">
      <w:pPr>
        <w:snapToGrid w:val="0"/>
        <w:spacing w:line="360" w:lineRule="auto"/>
        <w:ind w:firstLine="340" w:firstLineChars="162"/>
        <w:rPr>
          <w:rFonts w:hint="eastAsia" w:ascii="宋体" w:hAnsi="宋体"/>
          <w:szCs w:val="21"/>
        </w:rPr>
      </w:pPr>
      <w:r>
        <w:rPr>
          <w:rFonts w:hint="eastAsia" w:ascii="宋体" w:hAnsi="宋体"/>
          <w:szCs w:val="21"/>
        </w:rPr>
        <w:t>10．乙方应自带用以安装、调试过程中所需的各种工具、仪器仪表及易损件。</w:t>
      </w:r>
    </w:p>
    <w:p w14:paraId="569D955B">
      <w:pPr>
        <w:snapToGrid w:val="0"/>
        <w:spacing w:line="360" w:lineRule="auto"/>
        <w:ind w:firstLine="340" w:firstLineChars="162"/>
        <w:rPr>
          <w:rFonts w:hint="eastAsia" w:ascii="宋体" w:hAnsi="宋体"/>
          <w:szCs w:val="21"/>
        </w:rPr>
      </w:pPr>
      <w:r>
        <w:rPr>
          <w:rFonts w:hint="eastAsia" w:ascii="宋体" w:hAnsi="宋体"/>
          <w:szCs w:val="21"/>
        </w:rPr>
        <w:t>11.装卸、安装、调试人身财产安全责任：所有在装卸货、安装、调试发生的人身财产安全责任全部由乙方承担，如有可追究责任人，乙方承担后可依法向相关责任人追偿。</w:t>
      </w:r>
    </w:p>
    <w:p w14:paraId="04F2FC40">
      <w:pPr>
        <w:snapToGrid w:val="0"/>
        <w:spacing w:line="360" w:lineRule="auto"/>
        <w:ind w:firstLine="340" w:firstLineChars="162"/>
        <w:rPr>
          <w:rFonts w:hint="eastAsia" w:ascii="宋体" w:hAnsi="宋体"/>
          <w:szCs w:val="21"/>
        </w:rPr>
      </w:pPr>
      <w:r>
        <w:rPr>
          <w:rFonts w:ascii="宋体" w:hAnsi="宋体"/>
          <w:szCs w:val="21"/>
        </w:rPr>
        <w:t>12.</w:t>
      </w:r>
      <w:r>
        <w:rPr>
          <w:rFonts w:hint="eastAsia" w:ascii="宋体" w:hAnsi="宋体"/>
          <w:szCs w:val="21"/>
        </w:rPr>
        <w:t>乙方在生产前必须提供本次项目家具生产材料（油漆、板材、石材、胶水、海绵、五金）的《国家家具产品质量监督检验检测报告》；在家具成品制作完成后，须将床架及或其他成品抽样检测并合格。</w:t>
      </w:r>
    </w:p>
    <w:p w14:paraId="736BA8B6">
      <w:pPr>
        <w:snapToGrid w:val="0"/>
        <w:spacing w:line="360" w:lineRule="auto"/>
        <w:ind w:firstLine="340" w:firstLineChars="162"/>
        <w:rPr>
          <w:rFonts w:hint="eastAsia" w:ascii="宋体" w:hAnsi="宋体"/>
          <w:szCs w:val="21"/>
        </w:rPr>
      </w:pPr>
      <w:r>
        <w:rPr>
          <w:rFonts w:ascii="宋体" w:hAnsi="宋体"/>
          <w:bCs/>
          <w:szCs w:val="21"/>
        </w:rPr>
        <w:t>13.</w:t>
      </w:r>
      <w:r>
        <w:rPr>
          <w:rFonts w:ascii="宋体" w:hAnsi="宋体"/>
          <w:szCs w:val="21"/>
        </w:rPr>
        <w:t xml:space="preserve"> </w:t>
      </w:r>
      <w:r>
        <w:rPr>
          <w:rFonts w:hint="eastAsia" w:ascii="宋体" w:hAnsi="宋体"/>
          <w:szCs w:val="21"/>
        </w:rPr>
        <w:t>为便于管理，甲方和乙方在项目期间的联络，应通过指定的项目各阶段的负责人进行。项目乙方负责人姓名：</w:t>
      </w:r>
      <w:r>
        <w:rPr>
          <w:rFonts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。如乙方负责人发生变更，应提前</w:t>
      </w:r>
      <w:r>
        <w:rPr>
          <w:rFonts w:ascii="宋体" w:hAnsi="宋体"/>
          <w:szCs w:val="21"/>
        </w:rPr>
        <w:t>7天书面通知甲方，并经甲方书面确认。</w:t>
      </w:r>
    </w:p>
    <w:p w14:paraId="656F4142">
      <w:pPr>
        <w:snapToGrid w:val="0"/>
        <w:spacing w:line="360" w:lineRule="auto"/>
        <w:ind w:firstLine="340" w:firstLineChars="162"/>
        <w:rPr>
          <w:rFonts w:hint="eastAsia" w:ascii="宋体" w:hAnsi="宋体"/>
          <w:szCs w:val="21"/>
        </w:rPr>
      </w:pPr>
      <w:r>
        <w:rPr>
          <w:rFonts w:ascii="宋体" w:hAnsi="宋体"/>
          <w:szCs w:val="21"/>
        </w:rPr>
        <w:t>14. 甲方指定</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为现场代表（联系电话：</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），行使甲方权利，</w:t>
      </w:r>
      <w:r>
        <w:rPr>
          <w:rFonts w:hint="eastAsia" w:ascii="宋体" w:hAnsi="宋体"/>
          <w:szCs w:val="21"/>
        </w:rPr>
        <w:t>保证本项目安全、质量和进度达到合同要求，与乙方现场负责人沟通，协调解决施工现场问题。</w:t>
      </w:r>
    </w:p>
    <w:p w14:paraId="3678F781">
      <w:pPr>
        <w:snapToGrid w:val="0"/>
        <w:spacing w:line="360" w:lineRule="auto"/>
        <w:ind w:firstLine="422" w:firstLineChars="200"/>
        <w:outlineLvl w:val="2"/>
        <w:rPr>
          <w:rFonts w:hint="eastAsia" w:ascii="宋体" w:hAnsi="宋体"/>
          <w:b/>
          <w:szCs w:val="21"/>
        </w:rPr>
      </w:pPr>
      <w:r>
        <w:rPr>
          <w:rFonts w:hint="eastAsia" w:ascii="宋体" w:hAnsi="宋体"/>
          <w:b/>
          <w:szCs w:val="21"/>
        </w:rPr>
        <w:t>第五条 质量保证与售后服务</w:t>
      </w:r>
    </w:p>
    <w:p w14:paraId="4BB46EF3">
      <w:pPr>
        <w:snapToGrid w:val="0"/>
        <w:spacing w:line="360" w:lineRule="auto"/>
        <w:ind w:firstLine="340" w:firstLineChars="162"/>
        <w:rPr>
          <w:rFonts w:hint="eastAsia" w:ascii="宋体" w:hAnsi="宋体"/>
          <w:szCs w:val="21"/>
        </w:rPr>
      </w:pPr>
      <w:r>
        <w:rPr>
          <w:rFonts w:hint="eastAsia" w:ascii="宋体" w:hAnsi="宋体"/>
          <w:szCs w:val="21"/>
        </w:rPr>
        <w:t>1、乙方应严格按照国家有关标准和规定进行制造和检验，材料及零部件均为全新未用过的，且符合本合同附件的规定，以确保产品质量。货物须经技术检验，符合国家相关标准才能出厂。</w:t>
      </w:r>
    </w:p>
    <w:p w14:paraId="70EDC2C5">
      <w:pPr>
        <w:snapToGrid w:val="0"/>
        <w:spacing w:line="360" w:lineRule="auto"/>
        <w:ind w:firstLine="340" w:firstLineChars="162"/>
        <w:rPr>
          <w:rFonts w:hint="eastAsia" w:ascii="宋体" w:hAnsi="宋体"/>
          <w:szCs w:val="21"/>
          <w:u w:val="single"/>
        </w:rPr>
      </w:pPr>
      <w:r>
        <w:rPr>
          <w:rFonts w:hint="eastAsia" w:ascii="宋体" w:hAnsi="宋体"/>
          <w:szCs w:val="21"/>
        </w:rPr>
        <w:t>2、</w:t>
      </w:r>
      <w:r>
        <w:rPr>
          <w:rFonts w:hint="eastAsia" w:ascii="宋体" w:hAnsi="宋体"/>
          <w:kern w:val="0"/>
          <w:szCs w:val="21"/>
        </w:rPr>
        <w:t>自验收合格之日起，提供</w:t>
      </w:r>
      <w:r>
        <w:rPr>
          <w:rFonts w:ascii="宋体" w:hAnsi="宋体"/>
          <w:b/>
          <w:bCs/>
          <w:kern w:val="0"/>
          <w:szCs w:val="21"/>
          <w:u w:val="single"/>
        </w:rPr>
        <w:t xml:space="preserve"> </w:t>
      </w:r>
      <w:r>
        <w:rPr>
          <w:rFonts w:hint="eastAsia" w:ascii="宋体" w:hAnsi="宋体"/>
          <w:b/>
          <w:bCs/>
          <w:kern w:val="0"/>
          <w:szCs w:val="21"/>
          <w:u w:val="single"/>
        </w:rPr>
        <w:t>1</w:t>
      </w:r>
      <w:r>
        <w:rPr>
          <w:rFonts w:ascii="宋体" w:hAnsi="宋体"/>
          <w:b/>
          <w:bCs/>
          <w:kern w:val="0"/>
          <w:szCs w:val="21"/>
          <w:u w:val="single"/>
        </w:rPr>
        <w:t xml:space="preserve">  </w:t>
      </w:r>
      <w:r>
        <w:rPr>
          <w:rFonts w:hint="eastAsia" w:ascii="宋体" w:hAnsi="宋体"/>
          <w:kern w:val="0"/>
          <w:szCs w:val="21"/>
        </w:rPr>
        <w:t>年的免费质保期，质保期内，非因操作不当造成要更换的零配件及货物由乙方负责包修、包换。在质保期结束前1个月，乙方须免费对货物进行一次全面的维护与保养</w:t>
      </w:r>
      <w:r>
        <w:rPr>
          <w:rFonts w:hint="eastAsia" w:ascii="宋体" w:hAnsi="宋体"/>
          <w:szCs w:val="21"/>
        </w:rPr>
        <w:t>。</w:t>
      </w:r>
    </w:p>
    <w:p w14:paraId="51CE7848">
      <w:pPr>
        <w:snapToGrid w:val="0"/>
        <w:spacing w:line="360" w:lineRule="auto"/>
        <w:ind w:firstLine="340" w:firstLineChars="162"/>
        <w:rPr>
          <w:rFonts w:hint="eastAsia" w:ascii="宋体" w:hAnsi="宋体"/>
          <w:szCs w:val="21"/>
        </w:rPr>
      </w:pPr>
      <w:r>
        <w:rPr>
          <w:rFonts w:hint="eastAsia" w:ascii="宋体" w:hAnsi="宋体"/>
          <w:szCs w:val="21"/>
        </w:rPr>
        <w:t>3、质量保修期内要求乙方到达现场进行免费维修服务，一般故障12小时内解决，重大故障24小时内解决。故障原因24小时内无法排除的，则应提供相应备用产品以保证招标人正常使用。</w:t>
      </w:r>
    </w:p>
    <w:p w14:paraId="77416BCA">
      <w:pPr>
        <w:snapToGrid w:val="0"/>
        <w:spacing w:line="360" w:lineRule="auto"/>
        <w:ind w:firstLine="340" w:firstLineChars="162"/>
        <w:rPr>
          <w:rFonts w:hint="eastAsia" w:ascii="宋体" w:hAnsi="宋体"/>
          <w:szCs w:val="21"/>
        </w:rPr>
      </w:pPr>
      <w:r>
        <w:rPr>
          <w:rFonts w:hint="eastAsia" w:ascii="宋体" w:hAnsi="宋体"/>
          <w:szCs w:val="21"/>
        </w:rPr>
        <w:t>4、乙方负责免费为甲方培训操作及维修人员。包括：基本原理，操作使用和维修保养。</w:t>
      </w:r>
    </w:p>
    <w:p w14:paraId="0DF3D843">
      <w:pPr>
        <w:snapToGrid w:val="0"/>
        <w:spacing w:line="360" w:lineRule="auto"/>
        <w:ind w:firstLine="340" w:firstLineChars="162"/>
        <w:rPr>
          <w:rFonts w:hint="eastAsia" w:ascii="宋体" w:hAnsi="宋体"/>
          <w:szCs w:val="21"/>
        </w:rPr>
      </w:pPr>
      <w:r>
        <w:rPr>
          <w:rFonts w:hint="eastAsia" w:ascii="宋体" w:hAnsi="宋体"/>
          <w:szCs w:val="21"/>
        </w:rPr>
        <w:t>5、货物投入正常运行后，乙方应定期回访使用方。</w:t>
      </w:r>
    </w:p>
    <w:p w14:paraId="039B9F06">
      <w:pPr>
        <w:snapToGrid w:val="0"/>
        <w:spacing w:line="360" w:lineRule="auto"/>
        <w:ind w:firstLine="340" w:firstLineChars="162"/>
        <w:rPr>
          <w:rFonts w:hint="eastAsia" w:ascii="宋体" w:hAnsi="宋体"/>
          <w:szCs w:val="21"/>
        </w:rPr>
      </w:pPr>
      <w:r>
        <w:rPr>
          <w:rFonts w:hint="eastAsia" w:ascii="宋体" w:hAnsi="宋体"/>
          <w:szCs w:val="21"/>
        </w:rPr>
        <w:t>6、乙方应投标文件中明确的售后服务内容、响应时间、范围、方式、收费标准等进行售后服务工作。</w:t>
      </w:r>
    </w:p>
    <w:p w14:paraId="602AD0B3">
      <w:pPr>
        <w:snapToGrid w:val="0"/>
        <w:spacing w:line="360" w:lineRule="auto"/>
        <w:ind w:firstLine="422" w:firstLineChars="200"/>
        <w:outlineLvl w:val="2"/>
        <w:rPr>
          <w:rFonts w:hint="eastAsia" w:ascii="宋体" w:hAnsi="宋体"/>
          <w:b/>
          <w:szCs w:val="21"/>
        </w:rPr>
      </w:pPr>
      <w:r>
        <w:rPr>
          <w:rFonts w:hint="eastAsia" w:ascii="宋体" w:hAnsi="宋体"/>
          <w:b/>
          <w:szCs w:val="21"/>
        </w:rPr>
        <w:t>第六条</w:t>
      </w:r>
      <w:r>
        <w:rPr>
          <w:rFonts w:ascii="宋体" w:hAnsi="宋体"/>
          <w:b/>
          <w:szCs w:val="21"/>
        </w:rPr>
        <w:t xml:space="preserve"> </w:t>
      </w:r>
      <w:r>
        <w:rPr>
          <w:rFonts w:hint="eastAsia" w:ascii="宋体" w:hAnsi="宋体"/>
          <w:b/>
          <w:szCs w:val="21"/>
        </w:rPr>
        <w:t>产权与风险转移</w:t>
      </w:r>
    </w:p>
    <w:p w14:paraId="5AE8F46B">
      <w:pPr>
        <w:snapToGrid w:val="0"/>
        <w:spacing w:line="360" w:lineRule="auto"/>
        <w:ind w:right="31" w:rightChars="15" w:firstLine="340" w:firstLineChars="162"/>
        <w:rPr>
          <w:rFonts w:hint="eastAsia" w:ascii="宋体" w:hAnsi="宋体"/>
          <w:bCs/>
          <w:szCs w:val="21"/>
        </w:rPr>
      </w:pPr>
      <w:r>
        <w:rPr>
          <w:rFonts w:hint="eastAsia" w:ascii="宋体" w:hAnsi="宋体"/>
          <w:bCs/>
          <w:szCs w:val="21"/>
        </w:rPr>
        <w:t>1、货物所有权自交付甲方之日起转移至甲方。</w:t>
      </w:r>
    </w:p>
    <w:p w14:paraId="28D8F4B5">
      <w:pPr>
        <w:snapToGrid w:val="0"/>
        <w:spacing w:line="360" w:lineRule="auto"/>
        <w:ind w:right="31" w:rightChars="15" w:firstLine="340" w:firstLineChars="162"/>
        <w:rPr>
          <w:rFonts w:hint="eastAsia" w:ascii="宋体" w:hAnsi="宋体"/>
          <w:bCs/>
          <w:szCs w:val="21"/>
        </w:rPr>
      </w:pPr>
      <w:r>
        <w:rPr>
          <w:rFonts w:hint="eastAsia" w:ascii="宋体" w:hAnsi="宋体"/>
          <w:bCs/>
          <w:szCs w:val="21"/>
        </w:rPr>
        <w:t>2、货物损坏、灭失的风险在安装、调试完成交付正常使用，并最终验收合格后同时由乙方转移至甲方。</w:t>
      </w:r>
    </w:p>
    <w:p w14:paraId="3F11CCA9">
      <w:pPr>
        <w:snapToGrid w:val="0"/>
        <w:spacing w:line="360" w:lineRule="auto"/>
        <w:ind w:right="31" w:rightChars="15" w:firstLine="340" w:firstLineChars="162"/>
        <w:rPr>
          <w:rFonts w:hint="eastAsia" w:ascii="宋体" w:hAnsi="宋体"/>
          <w:bCs/>
          <w:szCs w:val="21"/>
        </w:rPr>
      </w:pPr>
      <w:r>
        <w:rPr>
          <w:rFonts w:hint="eastAsia" w:ascii="宋体" w:hAnsi="宋体"/>
          <w:bCs/>
          <w:szCs w:val="21"/>
        </w:rPr>
        <w:t>3、在拒收情况下，或者解除合同的，货物毁损、灭失的风险由乙方承担。</w:t>
      </w:r>
    </w:p>
    <w:p w14:paraId="3D5E836D">
      <w:pPr>
        <w:snapToGrid w:val="0"/>
        <w:spacing w:line="360" w:lineRule="auto"/>
        <w:ind w:right="31" w:rightChars="15" w:firstLine="340" w:firstLineChars="162"/>
        <w:rPr>
          <w:rFonts w:hint="eastAsia" w:ascii="宋体" w:hAnsi="宋体"/>
          <w:bCs/>
          <w:szCs w:val="21"/>
        </w:rPr>
      </w:pPr>
      <w:r>
        <w:rPr>
          <w:rFonts w:hint="eastAsia" w:ascii="宋体" w:hAnsi="宋体"/>
          <w:bCs/>
          <w:szCs w:val="21"/>
        </w:rPr>
        <w:t>4、所有权和风险的转移，不影响因乙方履行义务不符合约定，甲方要求其承担违约责任的权利。</w:t>
      </w:r>
    </w:p>
    <w:p w14:paraId="0D1354F9">
      <w:pPr>
        <w:snapToGrid w:val="0"/>
        <w:spacing w:line="360" w:lineRule="auto"/>
        <w:ind w:right="31" w:rightChars="15" w:firstLine="340" w:firstLineChars="162"/>
        <w:rPr>
          <w:rFonts w:hint="eastAsia" w:ascii="宋体" w:hAnsi="宋体"/>
          <w:bCs/>
          <w:szCs w:val="21"/>
        </w:rPr>
      </w:pPr>
      <w:r>
        <w:rPr>
          <w:rFonts w:hint="eastAsia" w:ascii="宋体" w:hAnsi="宋体"/>
          <w:bCs/>
          <w:szCs w:val="21"/>
        </w:rPr>
        <w:t>5、乙方交由承运人运输的在途货物，毁损、灭失的风险由乙方承担。</w:t>
      </w:r>
    </w:p>
    <w:p w14:paraId="3BE94815">
      <w:pPr>
        <w:snapToGrid w:val="0"/>
        <w:spacing w:line="360" w:lineRule="auto"/>
        <w:ind w:firstLine="422" w:firstLineChars="200"/>
        <w:outlineLvl w:val="2"/>
        <w:rPr>
          <w:rFonts w:hint="eastAsia" w:ascii="宋体" w:hAnsi="宋体"/>
          <w:b/>
          <w:szCs w:val="21"/>
        </w:rPr>
      </w:pPr>
      <w:r>
        <w:rPr>
          <w:rFonts w:hint="eastAsia" w:ascii="宋体" w:hAnsi="宋体"/>
          <w:b/>
          <w:szCs w:val="21"/>
        </w:rPr>
        <w:t>第七条 违约责任</w:t>
      </w:r>
    </w:p>
    <w:p w14:paraId="0850AA9C">
      <w:pPr>
        <w:snapToGrid w:val="0"/>
        <w:spacing w:line="360" w:lineRule="auto"/>
        <w:ind w:right="31" w:rightChars="15" w:firstLine="340" w:firstLineChars="162"/>
        <w:rPr>
          <w:rFonts w:hint="eastAsia" w:ascii="宋体" w:hAnsi="宋体"/>
          <w:bCs/>
          <w:szCs w:val="21"/>
        </w:rPr>
      </w:pPr>
      <w:r>
        <w:rPr>
          <w:rFonts w:hint="eastAsia" w:ascii="宋体" w:hAnsi="宋体"/>
          <w:bCs/>
          <w:szCs w:val="21"/>
        </w:rPr>
        <w:t>1、乙方若有以下情形之一的，甲方有权要求乙方赔偿货物总价20%的违约金，并有权解除本合同：</w:t>
      </w:r>
    </w:p>
    <w:p w14:paraId="4DC00FCA">
      <w:pPr>
        <w:snapToGrid w:val="0"/>
        <w:spacing w:line="360" w:lineRule="auto"/>
        <w:ind w:right="31" w:rightChars="15" w:firstLine="340" w:firstLineChars="162"/>
        <w:rPr>
          <w:rFonts w:hint="eastAsia" w:ascii="宋体" w:hAnsi="宋体"/>
          <w:bCs/>
          <w:szCs w:val="21"/>
        </w:rPr>
      </w:pPr>
      <w:r>
        <w:rPr>
          <w:rFonts w:hint="eastAsia" w:ascii="宋体" w:hAnsi="宋体"/>
          <w:bCs/>
          <w:szCs w:val="21"/>
        </w:rPr>
        <w:t>（1）、提供的产品质量不符合合同约定，经2次返修仍不能正常使用。</w:t>
      </w:r>
    </w:p>
    <w:p w14:paraId="4328D4FA">
      <w:pPr>
        <w:snapToGrid w:val="0"/>
        <w:spacing w:line="360" w:lineRule="auto"/>
        <w:ind w:right="31" w:rightChars="15" w:firstLine="340" w:firstLineChars="162"/>
        <w:rPr>
          <w:rFonts w:hint="eastAsia" w:ascii="宋体" w:hAnsi="宋体"/>
          <w:bCs/>
          <w:szCs w:val="21"/>
        </w:rPr>
      </w:pPr>
      <w:r>
        <w:rPr>
          <w:rFonts w:hint="eastAsia" w:ascii="宋体" w:hAnsi="宋体"/>
          <w:bCs/>
          <w:szCs w:val="21"/>
        </w:rPr>
        <w:t>（2）、未能按订单确认的交货期限准时供货，逾期超过三天（含本数）。（乙方逾期交货的，每逾期一天，均应向甲方加付迟延交付货物总价的千分之四的违约金）。</w:t>
      </w:r>
    </w:p>
    <w:p w14:paraId="42866692">
      <w:pPr>
        <w:snapToGrid w:val="0"/>
        <w:spacing w:line="360" w:lineRule="auto"/>
        <w:ind w:right="31" w:rightChars="15" w:firstLine="340" w:firstLineChars="162"/>
        <w:rPr>
          <w:rFonts w:hint="eastAsia" w:ascii="宋体" w:hAnsi="宋体"/>
          <w:bCs/>
          <w:szCs w:val="21"/>
        </w:rPr>
      </w:pPr>
      <w:r>
        <w:rPr>
          <w:rFonts w:hint="eastAsia" w:ascii="宋体" w:hAnsi="宋体"/>
          <w:bCs/>
          <w:szCs w:val="21"/>
        </w:rPr>
        <w:t>若上述违约金不足以弥补甲方损失的，甲方有权继续向乙方追偿。所有乙方应当承担的违约金、赔偿金等责任，甲方均有权在应支付给乙方的款项中直接扣除，不足以扣除的，甲方有权继续要求乙方支付或赔偿。</w:t>
      </w:r>
    </w:p>
    <w:p w14:paraId="5A949DDA">
      <w:pPr>
        <w:snapToGrid w:val="0"/>
        <w:spacing w:line="360" w:lineRule="auto"/>
        <w:ind w:right="31" w:rightChars="15" w:firstLine="340" w:firstLineChars="162"/>
        <w:rPr>
          <w:rFonts w:hint="eastAsia" w:ascii="宋体" w:hAnsi="宋体"/>
          <w:bCs/>
          <w:szCs w:val="21"/>
        </w:rPr>
      </w:pPr>
      <w:r>
        <w:rPr>
          <w:rFonts w:hint="eastAsia" w:ascii="宋体" w:hAnsi="宋体"/>
          <w:bCs/>
          <w:szCs w:val="21"/>
        </w:rPr>
        <w:t>2、乙方应如约履行合同其他义务，如协助安装调试、提供培训、保修、质保期满后指导甲方更换货物零配件及日常维护等，如乙方违反本条规定，甲方有权向乙方追究合同总额10%的违约金。</w:t>
      </w:r>
    </w:p>
    <w:p w14:paraId="4BBAFDB0">
      <w:pPr>
        <w:snapToGrid w:val="0"/>
        <w:spacing w:line="360" w:lineRule="auto"/>
        <w:ind w:right="31" w:rightChars="15" w:firstLine="340" w:firstLineChars="162"/>
        <w:rPr>
          <w:rFonts w:hint="eastAsia" w:ascii="宋体" w:hAnsi="宋体"/>
          <w:bCs/>
          <w:szCs w:val="21"/>
        </w:rPr>
      </w:pPr>
      <w:r>
        <w:rPr>
          <w:rFonts w:hint="eastAsia" w:ascii="宋体" w:hAnsi="宋体"/>
          <w:bCs/>
          <w:szCs w:val="21"/>
        </w:rPr>
        <w:t>3、甲方保证按时付清货款，如甲方不能按时付款的，乙方有权按日追究迟延付款额万分之五的违约金。</w:t>
      </w:r>
    </w:p>
    <w:p w14:paraId="7EB01CDF">
      <w:pPr>
        <w:snapToGrid w:val="0"/>
        <w:spacing w:line="360" w:lineRule="auto"/>
        <w:ind w:firstLine="422" w:firstLineChars="200"/>
        <w:outlineLvl w:val="2"/>
        <w:rPr>
          <w:rFonts w:hint="eastAsia" w:ascii="宋体" w:hAnsi="宋体"/>
          <w:b/>
          <w:szCs w:val="21"/>
        </w:rPr>
      </w:pPr>
      <w:r>
        <w:rPr>
          <w:rFonts w:hint="eastAsia" w:ascii="宋体" w:hAnsi="宋体"/>
          <w:b/>
          <w:szCs w:val="21"/>
        </w:rPr>
        <w:t>第八条</w:t>
      </w:r>
      <w:bookmarkStart w:id="20" w:name="#304962"/>
      <w:bookmarkEnd w:id="20"/>
      <w:r>
        <w:rPr>
          <w:rFonts w:hint="eastAsia" w:ascii="宋体" w:hAnsi="宋体"/>
          <w:b/>
          <w:szCs w:val="21"/>
        </w:rPr>
        <w:t xml:space="preserve"> 争议解决方式</w:t>
      </w:r>
      <w:bookmarkStart w:id="21" w:name="#304963"/>
      <w:bookmarkEnd w:id="21"/>
    </w:p>
    <w:p w14:paraId="64C70FED">
      <w:pPr>
        <w:widowControl/>
        <w:snapToGrid w:val="0"/>
        <w:spacing w:line="360" w:lineRule="auto"/>
        <w:ind w:right="31" w:rightChars="15" w:firstLine="340" w:firstLineChars="162"/>
        <w:jc w:val="left"/>
        <w:rPr>
          <w:rFonts w:hint="eastAsia" w:ascii="宋体" w:hAnsi="宋体" w:cs="Arial"/>
          <w:kern w:val="0"/>
          <w:szCs w:val="21"/>
        </w:rPr>
      </w:pPr>
      <w:r>
        <w:rPr>
          <w:rFonts w:hint="eastAsia" w:ascii="宋体" w:hAnsi="宋体" w:cs="Arial"/>
          <w:kern w:val="0"/>
          <w:szCs w:val="21"/>
        </w:rPr>
        <w:t>所有由本协议产生的争议，双方应当友好协商解决。如不能通过友好协商解决争议，选定下面第</w:t>
      </w:r>
      <w:r>
        <w:rPr>
          <w:rFonts w:hint="eastAsia" w:ascii="宋体" w:hAnsi="宋体" w:cs="Arial"/>
          <w:kern w:val="0"/>
          <w:szCs w:val="21"/>
          <w:u w:val="single"/>
        </w:rPr>
        <w:t>2</w:t>
      </w:r>
      <w:r>
        <w:rPr>
          <w:rFonts w:hint="eastAsia" w:ascii="宋体" w:hAnsi="宋体" w:cs="Arial"/>
          <w:kern w:val="0"/>
          <w:szCs w:val="21"/>
        </w:rPr>
        <w:t>种方式解决：</w:t>
      </w:r>
    </w:p>
    <w:p w14:paraId="786DF314">
      <w:pPr>
        <w:widowControl/>
        <w:snapToGrid w:val="0"/>
        <w:spacing w:line="360" w:lineRule="auto"/>
        <w:ind w:right="31" w:rightChars="15" w:firstLine="340" w:firstLineChars="162"/>
        <w:jc w:val="left"/>
        <w:rPr>
          <w:rFonts w:hint="eastAsia" w:ascii="宋体" w:hAnsi="宋体" w:cs="Arial"/>
          <w:kern w:val="0"/>
          <w:szCs w:val="21"/>
        </w:rPr>
      </w:pPr>
      <w:r>
        <w:rPr>
          <w:rFonts w:hint="eastAsia" w:ascii="宋体" w:hAnsi="宋体" w:cs="Arial"/>
          <w:kern w:val="0"/>
          <w:szCs w:val="21"/>
        </w:rPr>
        <w:t>（1）向广州仲裁委员会申请仲裁。</w:t>
      </w:r>
    </w:p>
    <w:p w14:paraId="4665DDE2">
      <w:pPr>
        <w:widowControl/>
        <w:snapToGrid w:val="0"/>
        <w:spacing w:line="360" w:lineRule="auto"/>
        <w:ind w:right="31" w:rightChars="15" w:firstLine="340" w:firstLineChars="162"/>
        <w:jc w:val="left"/>
        <w:rPr>
          <w:rFonts w:hint="eastAsia" w:ascii="宋体" w:hAnsi="宋体" w:cs="Arial"/>
          <w:kern w:val="0"/>
          <w:szCs w:val="21"/>
        </w:rPr>
      </w:pPr>
      <w:r>
        <w:rPr>
          <w:rFonts w:hint="eastAsia" w:ascii="宋体" w:hAnsi="宋体" w:cs="Arial"/>
          <w:kern w:val="0"/>
          <w:szCs w:val="21"/>
        </w:rPr>
        <w:t>（2）依法向甲方所在地人民法院起诉。</w:t>
      </w:r>
    </w:p>
    <w:p w14:paraId="22F502D7">
      <w:pPr>
        <w:snapToGrid w:val="0"/>
        <w:spacing w:line="360" w:lineRule="auto"/>
        <w:ind w:firstLine="422" w:firstLineChars="200"/>
        <w:outlineLvl w:val="2"/>
        <w:rPr>
          <w:rFonts w:hint="eastAsia" w:ascii="宋体" w:hAnsi="宋体"/>
          <w:b/>
          <w:szCs w:val="21"/>
        </w:rPr>
      </w:pPr>
      <w:r>
        <w:rPr>
          <w:rFonts w:hint="eastAsia" w:ascii="宋体" w:hAnsi="宋体"/>
          <w:b/>
          <w:szCs w:val="21"/>
        </w:rPr>
        <w:t>第九条 其他</w:t>
      </w:r>
    </w:p>
    <w:p w14:paraId="67D42229">
      <w:pPr>
        <w:snapToGrid w:val="0"/>
        <w:spacing w:line="360" w:lineRule="auto"/>
        <w:ind w:right="31" w:rightChars="15" w:firstLine="340" w:firstLineChars="162"/>
        <w:rPr>
          <w:rFonts w:hint="eastAsia" w:ascii="宋体" w:hAnsi="宋体"/>
          <w:szCs w:val="21"/>
        </w:rPr>
      </w:pPr>
      <w:r>
        <w:rPr>
          <w:rFonts w:hint="eastAsia" w:ascii="宋体" w:hAnsi="宋体"/>
          <w:szCs w:val="21"/>
        </w:rPr>
        <w:t>1、</w:t>
      </w:r>
      <w:r>
        <w:rPr>
          <w:rFonts w:hint="eastAsia" w:ascii="宋体" w:hAnsi="宋体"/>
          <w:bCs/>
          <w:szCs w:val="21"/>
        </w:rPr>
        <w:t>作为合同附件的发货清单、安装说明、使用说明、保修说明等均</w:t>
      </w:r>
      <w:r>
        <w:rPr>
          <w:rFonts w:hint="eastAsia" w:ascii="宋体" w:hAnsi="宋体"/>
          <w:szCs w:val="21"/>
        </w:rPr>
        <w:t>为本合同的有效组成部分，与本合同具有同等法律效力；</w:t>
      </w:r>
    </w:p>
    <w:p w14:paraId="7C06A3D6">
      <w:pPr>
        <w:snapToGrid w:val="0"/>
        <w:spacing w:line="360" w:lineRule="auto"/>
        <w:ind w:right="31" w:rightChars="15" w:firstLine="340" w:firstLineChars="162"/>
        <w:rPr>
          <w:rFonts w:hint="eastAsia" w:ascii="宋体" w:hAnsi="宋体"/>
          <w:bCs/>
          <w:szCs w:val="21"/>
        </w:rPr>
      </w:pPr>
      <w:r>
        <w:rPr>
          <w:rFonts w:hint="eastAsia" w:ascii="宋体" w:hAnsi="宋体"/>
          <w:bCs/>
          <w:szCs w:val="21"/>
        </w:rPr>
        <w:t>2、质保期内，若发生货物使用故障，乙方应于</w:t>
      </w:r>
      <w:r>
        <w:rPr>
          <w:rFonts w:hint="eastAsia" w:ascii="宋体" w:hAnsi="宋体"/>
          <w:szCs w:val="21"/>
        </w:rPr>
        <w:t>到达现场进行免费维修服务，一般故障12小时内解决，重大故障24小时内解决</w:t>
      </w:r>
      <w:r>
        <w:rPr>
          <w:rFonts w:hint="eastAsia" w:ascii="宋体" w:hAnsi="宋体"/>
          <w:bCs/>
          <w:szCs w:val="21"/>
        </w:rPr>
        <w:t>内派专业人员至故障发生地进行维修或其他售后服务。乙方应尽快修复故障设备，不得无故拖延。</w:t>
      </w:r>
      <w:r>
        <w:rPr>
          <w:rFonts w:hint="eastAsia" w:ascii="宋体" w:hAnsi="宋体"/>
          <w:szCs w:val="21"/>
        </w:rPr>
        <w:t>若在24小时内仍未能有效解决，乙方须免费提供同档次的货物予甲方临时使用。</w:t>
      </w:r>
      <w:r>
        <w:rPr>
          <w:rFonts w:hint="eastAsia" w:ascii="宋体" w:hAnsi="宋体"/>
          <w:bCs/>
          <w:szCs w:val="21"/>
        </w:rPr>
        <w:t>若因乙方违反前述保修义务造成甲方损失，甲方有权要求乙方赔偿。</w:t>
      </w:r>
    </w:p>
    <w:p w14:paraId="454FB244">
      <w:pPr>
        <w:snapToGrid w:val="0"/>
        <w:spacing w:line="360" w:lineRule="auto"/>
        <w:ind w:right="31" w:rightChars="15" w:firstLine="340" w:firstLineChars="162"/>
        <w:rPr>
          <w:rFonts w:hint="eastAsia" w:ascii="宋体" w:hAnsi="宋体"/>
          <w:bCs/>
          <w:szCs w:val="21"/>
        </w:rPr>
      </w:pPr>
      <w:r>
        <w:rPr>
          <w:rFonts w:hint="eastAsia" w:ascii="宋体" w:hAnsi="宋体"/>
          <w:bCs/>
          <w:szCs w:val="21"/>
        </w:rPr>
        <w:t>3、质保期满后，若发生货物使用故障，应甲方要求，乙方需派专业人员免费指导维修。配件费用和人工费用由甲方承担。</w:t>
      </w:r>
    </w:p>
    <w:p w14:paraId="7EDF4826">
      <w:pPr>
        <w:snapToGrid w:val="0"/>
        <w:spacing w:line="360" w:lineRule="auto"/>
        <w:ind w:right="31" w:rightChars="15" w:firstLine="340" w:firstLineChars="162"/>
        <w:rPr>
          <w:rFonts w:hint="eastAsia" w:ascii="宋体" w:hAnsi="宋体"/>
          <w:bCs/>
          <w:szCs w:val="21"/>
        </w:rPr>
      </w:pPr>
      <w:r>
        <w:rPr>
          <w:rFonts w:hint="eastAsia" w:ascii="宋体" w:hAnsi="宋体"/>
          <w:bCs/>
          <w:szCs w:val="21"/>
        </w:rPr>
        <w:t>4、甲方应正确使用货物，因甲方不正确使用、保养造成货物损坏的，乙方不承担责任。若因货物存在质量问题导致甲方物料损失、人员伤亡等损失的，乙方需承担赔偿责任。</w:t>
      </w:r>
    </w:p>
    <w:p w14:paraId="06F140D9">
      <w:pPr>
        <w:snapToGrid w:val="0"/>
        <w:spacing w:line="360" w:lineRule="auto"/>
        <w:ind w:right="31" w:rightChars="15" w:firstLine="340" w:firstLineChars="162"/>
        <w:rPr>
          <w:rFonts w:hint="eastAsia" w:ascii="宋体" w:hAnsi="宋体"/>
          <w:bCs/>
          <w:szCs w:val="21"/>
        </w:rPr>
      </w:pPr>
      <w:r>
        <w:rPr>
          <w:rFonts w:hint="eastAsia" w:ascii="宋体" w:hAnsi="宋体"/>
          <w:bCs/>
          <w:szCs w:val="21"/>
        </w:rPr>
        <w:t>5、</w:t>
      </w:r>
      <w:r>
        <w:rPr>
          <w:rFonts w:hint="eastAsia" w:ascii="宋体" w:hAnsi="宋体"/>
          <w:szCs w:val="21"/>
        </w:rPr>
        <w:t>在货物安装调试时，如乙方提出要求的，甲方应为乙方人员的食宿提供方便，其费用由乙方自理。</w:t>
      </w:r>
    </w:p>
    <w:p w14:paraId="6A5F9720">
      <w:pPr>
        <w:snapToGrid w:val="0"/>
        <w:spacing w:line="360" w:lineRule="auto"/>
        <w:ind w:right="31" w:rightChars="15" w:firstLine="340" w:firstLineChars="162"/>
        <w:rPr>
          <w:rFonts w:hint="eastAsia" w:ascii="宋体" w:hAnsi="宋体"/>
          <w:szCs w:val="21"/>
        </w:rPr>
      </w:pPr>
      <w:r>
        <w:rPr>
          <w:rFonts w:hint="eastAsia" w:ascii="宋体" w:hAnsi="宋体"/>
          <w:szCs w:val="21"/>
        </w:rPr>
        <w:t>6、本合同的未尽事宜及本合同在履行过程中需变更的事宜，双方应通过订立补充条款或补充协议进行约定。本合同的补充条款、补充协议及附件均为本合同不可分割的部分。</w:t>
      </w:r>
    </w:p>
    <w:p w14:paraId="7BF5085B">
      <w:pPr>
        <w:snapToGrid w:val="0"/>
        <w:spacing w:line="360" w:lineRule="auto"/>
        <w:ind w:right="31" w:rightChars="15" w:firstLine="340" w:firstLineChars="162"/>
        <w:rPr>
          <w:rFonts w:hint="eastAsia" w:ascii="宋体" w:hAnsi="宋体"/>
          <w:szCs w:val="21"/>
        </w:rPr>
      </w:pPr>
      <w:r>
        <w:rPr>
          <w:rFonts w:hint="eastAsia" w:ascii="宋体" w:hAnsi="宋体"/>
          <w:szCs w:val="21"/>
        </w:rPr>
        <w:t>7、本合同及其补充条款、补充协议及附件中的手写文字与打印文字有矛盾时，以手写文字为准。如阿拉伯数字与大写数字有矛盾时，以大写数字为准。</w:t>
      </w:r>
    </w:p>
    <w:p w14:paraId="7A218C42">
      <w:pPr>
        <w:snapToGrid w:val="0"/>
        <w:spacing w:line="360" w:lineRule="auto"/>
        <w:ind w:right="31" w:rightChars="15" w:firstLine="340" w:firstLineChars="162"/>
        <w:rPr>
          <w:rFonts w:hint="eastAsia" w:ascii="宋体" w:hAnsi="宋体"/>
          <w:szCs w:val="21"/>
        </w:rPr>
      </w:pPr>
      <w:r>
        <w:rPr>
          <w:rFonts w:hint="eastAsia" w:ascii="宋体" w:hAnsi="宋体"/>
          <w:szCs w:val="21"/>
        </w:rPr>
        <w:t>8、其他约定事项：</w:t>
      </w:r>
    </w:p>
    <w:p w14:paraId="62DDAF0C">
      <w:pPr>
        <w:snapToGrid w:val="0"/>
        <w:spacing w:line="360" w:lineRule="auto"/>
        <w:ind w:right="31" w:rightChars="15" w:firstLine="340" w:firstLineChars="162"/>
        <w:rPr>
          <w:rFonts w:hint="eastAsia" w:ascii="宋体" w:hAnsi="宋体"/>
          <w:szCs w:val="21"/>
        </w:rPr>
      </w:pPr>
      <w:r>
        <w:rPr>
          <w:rFonts w:hint="eastAsia" w:ascii="宋体" w:hAnsi="宋体"/>
          <w:szCs w:val="21"/>
        </w:rPr>
        <w:t>除本合同另有约定外，出现以下情况之一的，乙方将被列入不合格供应商黑名单，且甲方有权立即终止合作或合同：</w:t>
      </w:r>
    </w:p>
    <w:p w14:paraId="6C39BFDA">
      <w:pPr>
        <w:snapToGrid w:val="0"/>
        <w:spacing w:line="360" w:lineRule="auto"/>
        <w:ind w:right="31" w:rightChars="15" w:firstLine="340" w:firstLineChars="162"/>
        <w:rPr>
          <w:rFonts w:hint="eastAsia" w:ascii="宋体" w:hAnsi="宋体"/>
          <w:szCs w:val="21"/>
        </w:rPr>
      </w:pPr>
      <w:r>
        <w:rPr>
          <w:rFonts w:hint="eastAsia" w:ascii="宋体" w:hAnsi="宋体"/>
          <w:szCs w:val="21"/>
        </w:rPr>
        <w:t>（1）提供伪劣不合格产品或服务质量严重不达标的。</w:t>
      </w:r>
    </w:p>
    <w:p w14:paraId="149540E9">
      <w:pPr>
        <w:snapToGrid w:val="0"/>
        <w:spacing w:line="360" w:lineRule="auto"/>
        <w:ind w:right="31" w:rightChars="15" w:firstLine="340" w:firstLineChars="162"/>
        <w:rPr>
          <w:rFonts w:hint="eastAsia" w:ascii="宋体" w:hAnsi="宋体"/>
          <w:szCs w:val="21"/>
        </w:rPr>
      </w:pPr>
      <w:r>
        <w:rPr>
          <w:rFonts w:hint="eastAsia" w:ascii="宋体" w:hAnsi="宋体"/>
          <w:szCs w:val="21"/>
        </w:rPr>
        <w:t>（2）提供掺假、假冒货品。</w:t>
      </w:r>
    </w:p>
    <w:p w14:paraId="7B0BA32F">
      <w:pPr>
        <w:snapToGrid w:val="0"/>
        <w:spacing w:line="360" w:lineRule="auto"/>
        <w:ind w:right="31" w:rightChars="15" w:firstLine="340" w:firstLineChars="162"/>
        <w:rPr>
          <w:rFonts w:hint="eastAsia" w:ascii="宋体" w:hAnsi="宋体"/>
          <w:szCs w:val="21"/>
        </w:rPr>
      </w:pPr>
      <w:r>
        <w:rPr>
          <w:rFonts w:hint="eastAsia" w:ascii="宋体" w:hAnsi="宋体"/>
          <w:szCs w:val="21"/>
        </w:rPr>
        <w:t>（3）提供货品数量与实际要求不一致。</w:t>
      </w:r>
    </w:p>
    <w:p w14:paraId="275672C5">
      <w:pPr>
        <w:snapToGrid w:val="0"/>
        <w:spacing w:line="360" w:lineRule="auto"/>
        <w:ind w:right="31" w:rightChars="15" w:firstLine="340" w:firstLineChars="162"/>
        <w:rPr>
          <w:rFonts w:hint="eastAsia" w:ascii="宋体" w:hAnsi="宋体"/>
          <w:szCs w:val="21"/>
        </w:rPr>
      </w:pPr>
      <w:r>
        <w:rPr>
          <w:rFonts w:hint="eastAsia" w:ascii="宋体" w:hAnsi="宋体"/>
          <w:szCs w:val="21"/>
        </w:rPr>
        <w:t>（4）拿取（或盗窃）酒店内任何物品和所送货品。</w:t>
      </w:r>
    </w:p>
    <w:p w14:paraId="5AD1C59B">
      <w:pPr>
        <w:snapToGrid w:val="0"/>
        <w:spacing w:line="360" w:lineRule="auto"/>
        <w:ind w:right="31" w:rightChars="15" w:firstLine="340" w:firstLineChars="162"/>
        <w:rPr>
          <w:rFonts w:hint="eastAsia" w:ascii="宋体" w:hAnsi="宋体"/>
          <w:szCs w:val="21"/>
        </w:rPr>
      </w:pPr>
      <w:r>
        <w:rPr>
          <w:rFonts w:hint="eastAsia" w:ascii="宋体" w:hAnsi="宋体"/>
          <w:szCs w:val="21"/>
        </w:rPr>
        <w:t>（5）伪造证照，提供虚假材料、隐瞒真实情况，或采取其他违法违规手段谋取中标的。</w:t>
      </w:r>
    </w:p>
    <w:p w14:paraId="6C851E99">
      <w:pPr>
        <w:snapToGrid w:val="0"/>
        <w:spacing w:line="360" w:lineRule="auto"/>
        <w:ind w:right="31" w:rightChars="15" w:firstLine="340" w:firstLineChars="162"/>
        <w:rPr>
          <w:rFonts w:hint="eastAsia" w:ascii="宋体" w:hAnsi="宋体"/>
          <w:szCs w:val="21"/>
        </w:rPr>
      </w:pPr>
      <w:r>
        <w:rPr>
          <w:rFonts w:hint="eastAsia" w:ascii="宋体" w:hAnsi="宋体"/>
          <w:szCs w:val="21"/>
        </w:rPr>
        <w:t>（6）中标后无正当理由不签订合同的。</w:t>
      </w:r>
    </w:p>
    <w:p w14:paraId="3621161D">
      <w:pPr>
        <w:snapToGrid w:val="0"/>
        <w:spacing w:line="360" w:lineRule="auto"/>
        <w:ind w:right="31" w:rightChars="15" w:firstLine="340" w:firstLineChars="162"/>
        <w:rPr>
          <w:rFonts w:hint="eastAsia" w:ascii="宋体" w:hAnsi="宋体"/>
          <w:szCs w:val="21"/>
        </w:rPr>
      </w:pPr>
      <w:r>
        <w:rPr>
          <w:rFonts w:hint="eastAsia" w:ascii="宋体" w:hAnsi="宋体"/>
          <w:szCs w:val="21"/>
        </w:rPr>
        <w:t>（7）无正当理由擅自变更或终止合同的。</w:t>
      </w:r>
    </w:p>
    <w:p w14:paraId="5800675E">
      <w:pPr>
        <w:snapToGrid w:val="0"/>
        <w:spacing w:line="360" w:lineRule="auto"/>
        <w:ind w:right="31" w:rightChars="15" w:firstLine="340" w:firstLineChars="162"/>
        <w:rPr>
          <w:rFonts w:hint="eastAsia" w:ascii="宋体" w:hAnsi="宋体"/>
          <w:szCs w:val="21"/>
        </w:rPr>
      </w:pPr>
      <w:r>
        <w:rPr>
          <w:rFonts w:hint="eastAsia" w:ascii="宋体" w:hAnsi="宋体"/>
          <w:szCs w:val="21"/>
        </w:rPr>
        <w:t>（8）围标、串标的或哄抬物价的。</w:t>
      </w:r>
    </w:p>
    <w:p w14:paraId="07987E98">
      <w:pPr>
        <w:snapToGrid w:val="0"/>
        <w:spacing w:line="360" w:lineRule="auto"/>
        <w:ind w:right="31" w:rightChars="15" w:firstLine="340" w:firstLineChars="162"/>
        <w:rPr>
          <w:rFonts w:hint="eastAsia" w:ascii="宋体" w:hAnsi="宋体"/>
          <w:szCs w:val="21"/>
        </w:rPr>
      </w:pPr>
      <w:r>
        <w:rPr>
          <w:rFonts w:hint="eastAsia" w:ascii="宋体" w:hAnsi="宋体"/>
          <w:szCs w:val="21"/>
        </w:rPr>
        <w:t>（9）向酒店员工、招投标评委或利益关系人等行贿、送礼、请吃或提供其他不正当利益的。</w:t>
      </w:r>
    </w:p>
    <w:p w14:paraId="0D29526F">
      <w:pPr>
        <w:snapToGrid w:val="0"/>
        <w:spacing w:line="360" w:lineRule="auto"/>
        <w:ind w:right="31" w:rightChars="15" w:firstLine="420" w:firstLineChars="200"/>
        <w:rPr>
          <w:rFonts w:hint="eastAsia" w:ascii="宋体" w:hAnsi="宋体"/>
          <w:szCs w:val="21"/>
        </w:rPr>
      </w:pPr>
      <w:r>
        <w:rPr>
          <w:rFonts w:hint="eastAsia" w:ascii="宋体" w:hAnsi="宋体"/>
          <w:szCs w:val="21"/>
        </w:rPr>
        <w:t>一方在本合同履行过程中向另一方发出或者提供的所有通知、文件、文书、资料等，均可以本合同所列明的地址送达；一方如果迁址或者变更电话，应当及时书面通知另一方，未履行通知义务的，另一方按原地址邮寄相关材料即视为已履行送达义务；当面交付上述材料的，在交付之时视为送达。</w:t>
      </w:r>
    </w:p>
    <w:p w14:paraId="3F34D9AE">
      <w:pPr>
        <w:snapToGrid w:val="0"/>
        <w:spacing w:line="360" w:lineRule="auto"/>
        <w:ind w:firstLine="422" w:firstLineChars="200"/>
        <w:outlineLvl w:val="2"/>
        <w:rPr>
          <w:rFonts w:hint="eastAsia" w:ascii="宋体" w:hAnsi="宋体"/>
          <w:b/>
          <w:szCs w:val="21"/>
        </w:rPr>
      </w:pPr>
      <w:r>
        <w:rPr>
          <w:rFonts w:hint="eastAsia" w:ascii="宋体" w:hAnsi="宋体"/>
          <w:b/>
          <w:szCs w:val="21"/>
        </w:rPr>
        <w:t>第十条　生效</w:t>
      </w:r>
    </w:p>
    <w:p w14:paraId="7795484B">
      <w:pPr>
        <w:snapToGrid w:val="0"/>
        <w:spacing w:line="360" w:lineRule="auto"/>
        <w:ind w:right="31" w:rightChars="15" w:firstLine="340" w:firstLineChars="162"/>
        <w:rPr>
          <w:rFonts w:hint="eastAsia" w:ascii="宋体" w:hAnsi="宋体"/>
          <w:szCs w:val="21"/>
        </w:rPr>
      </w:pPr>
      <w:r>
        <w:rPr>
          <w:rFonts w:hint="eastAsia" w:ascii="宋体" w:hAnsi="宋体"/>
          <w:szCs w:val="21"/>
        </w:rPr>
        <w:t>本合同自双方签字、盖章之日起生效。本合同一式   份。双方各持   份，均具有同等效力。</w:t>
      </w:r>
    </w:p>
    <w:p w14:paraId="0E92B33A">
      <w:pPr>
        <w:snapToGrid w:val="0"/>
        <w:spacing w:line="360" w:lineRule="auto"/>
        <w:ind w:right="31" w:rightChars="15"/>
        <w:rPr>
          <w:rFonts w:hint="eastAsia" w:ascii="宋体" w:hAnsi="宋体"/>
          <w:szCs w:val="21"/>
        </w:rPr>
      </w:pPr>
    </w:p>
    <w:p w14:paraId="66BF26C2">
      <w:pPr>
        <w:snapToGrid w:val="0"/>
        <w:spacing w:line="360" w:lineRule="auto"/>
        <w:ind w:right="31" w:rightChars="15" w:firstLine="340" w:firstLineChars="162"/>
        <w:rPr>
          <w:rFonts w:hint="eastAsia" w:ascii="宋体" w:hAnsi="宋体" w:cs="宋体"/>
          <w:kern w:val="0"/>
          <w:szCs w:val="21"/>
        </w:rPr>
      </w:pPr>
      <w:r>
        <w:rPr>
          <w:rFonts w:hint="eastAsia" w:ascii="宋体" w:hAnsi="宋体"/>
          <w:szCs w:val="21"/>
        </w:rPr>
        <w:t>合同附件：</w:t>
      </w:r>
      <w:r>
        <w:rPr>
          <w:rFonts w:ascii="宋体" w:hAnsi="宋体"/>
          <w:szCs w:val="21"/>
        </w:rPr>
        <w:t>1.</w:t>
      </w:r>
      <w:r>
        <w:rPr>
          <w:rFonts w:hint="eastAsia" w:ascii="宋体" w:hAnsi="宋体"/>
          <w:szCs w:val="21"/>
        </w:rPr>
        <w:t>廉洁协议书</w:t>
      </w:r>
    </w:p>
    <w:p w14:paraId="1CD8413F">
      <w:pPr>
        <w:autoSpaceDE w:val="0"/>
        <w:autoSpaceDN w:val="0"/>
        <w:adjustRightInd w:val="0"/>
        <w:snapToGrid w:val="0"/>
        <w:spacing w:line="360" w:lineRule="auto"/>
        <w:ind w:firstLine="1381" w:firstLineChars="658"/>
        <w:jc w:val="left"/>
        <w:rPr>
          <w:rFonts w:hint="eastAsia" w:ascii="宋体" w:hAnsi="宋体" w:cs="宋体"/>
          <w:kern w:val="0"/>
          <w:szCs w:val="21"/>
        </w:rPr>
      </w:pPr>
      <w:r>
        <w:rPr>
          <w:rFonts w:hint="eastAsia" w:ascii="宋体" w:hAnsi="宋体" w:cs="宋体"/>
          <w:kern w:val="0"/>
          <w:szCs w:val="21"/>
        </w:rPr>
        <w:t>2.采购报价清单</w:t>
      </w:r>
    </w:p>
    <w:p w14:paraId="2ACA63C5">
      <w:pPr>
        <w:snapToGrid w:val="0"/>
        <w:spacing w:line="360" w:lineRule="auto"/>
        <w:ind w:right="31" w:rightChars="15" w:firstLine="1390" w:firstLineChars="662"/>
        <w:rPr>
          <w:rFonts w:hint="eastAsia" w:ascii="宋体" w:hAnsi="宋体"/>
          <w:szCs w:val="21"/>
        </w:rPr>
      </w:pPr>
      <w:r>
        <w:rPr>
          <w:rFonts w:hint="eastAsia" w:ascii="宋体" w:hAnsi="宋体"/>
          <w:szCs w:val="21"/>
        </w:rPr>
        <w:t>3</w:t>
      </w:r>
      <w:r>
        <w:rPr>
          <w:rFonts w:ascii="宋体" w:hAnsi="宋体"/>
          <w:szCs w:val="21"/>
        </w:rPr>
        <w:t>.</w:t>
      </w:r>
      <w:r>
        <w:rPr>
          <w:rFonts w:hint="eastAsia" w:ascii="宋体" w:hAnsi="宋体"/>
          <w:szCs w:val="21"/>
        </w:rPr>
        <w:t>安全责任合同</w:t>
      </w:r>
    </w:p>
    <w:p w14:paraId="21B737F5">
      <w:pPr>
        <w:snapToGrid w:val="0"/>
        <w:spacing w:line="360" w:lineRule="auto"/>
        <w:ind w:right="31" w:rightChars="15" w:firstLine="1383" w:firstLineChars="659"/>
        <w:rPr>
          <w:rFonts w:hint="eastAsia" w:ascii="宋体" w:hAnsi="宋体"/>
          <w:szCs w:val="21"/>
        </w:rPr>
      </w:pPr>
      <w:r>
        <w:rPr>
          <w:rFonts w:hint="eastAsia" w:ascii="宋体" w:hAnsi="宋体"/>
          <w:szCs w:val="21"/>
        </w:rPr>
        <w:t>4.质量保修书</w:t>
      </w:r>
    </w:p>
    <w:p w14:paraId="617CA8C8">
      <w:pPr>
        <w:snapToGrid w:val="0"/>
        <w:spacing w:line="360" w:lineRule="auto"/>
        <w:ind w:right="31" w:rightChars="15" w:firstLine="1383" w:firstLineChars="659"/>
        <w:rPr>
          <w:rFonts w:hint="eastAsia" w:ascii="宋体" w:hAnsi="宋体"/>
          <w:szCs w:val="21"/>
        </w:rPr>
      </w:pPr>
    </w:p>
    <w:p w14:paraId="41489FAE">
      <w:pPr>
        <w:snapToGrid w:val="0"/>
        <w:spacing w:line="360" w:lineRule="auto"/>
        <w:rPr>
          <w:rFonts w:hint="eastAsia" w:ascii="宋体" w:hAnsi="宋体"/>
          <w:b/>
          <w:szCs w:val="21"/>
        </w:rPr>
      </w:pPr>
      <w:r>
        <w:rPr>
          <w:rFonts w:hint="eastAsia" w:ascii="宋体" w:hAnsi="宋体"/>
          <w:b/>
          <w:szCs w:val="21"/>
        </w:rPr>
        <w:t>甲方（盖章）：</w:t>
      </w:r>
      <w:r>
        <w:rPr>
          <w:rFonts w:hint="eastAsia" w:ascii="宋体" w:hAnsi="宋体"/>
          <w:b/>
          <w:szCs w:val="21"/>
          <w:u w:val="single"/>
        </w:rPr>
        <w:t xml:space="preserve">                 </w:t>
      </w:r>
      <w:r>
        <w:rPr>
          <w:rFonts w:hint="eastAsia" w:ascii="宋体" w:hAnsi="宋体"/>
          <w:b/>
          <w:szCs w:val="21"/>
        </w:rPr>
        <w:t>　    乙方（盖章）：</w:t>
      </w:r>
      <w:r>
        <w:rPr>
          <w:rFonts w:hint="eastAsia" w:ascii="宋体" w:hAnsi="宋体"/>
          <w:b/>
          <w:szCs w:val="21"/>
          <w:u w:val="single"/>
        </w:rPr>
        <w:t xml:space="preserve"> </w:t>
      </w:r>
      <w:r>
        <w:rPr>
          <w:rFonts w:ascii="宋体" w:hAnsi="宋体"/>
          <w:b/>
          <w:szCs w:val="21"/>
          <w:u w:val="single"/>
        </w:rPr>
        <w:t xml:space="preserve">       </w:t>
      </w:r>
      <w:r>
        <w:rPr>
          <w:rFonts w:hint="eastAsia" w:ascii="宋体" w:hAnsi="宋体"/>
          <w:b/>
          <w:szCs w:val="21"/>
          <w:u w:val="single"/>
        </w:rPr>
        <w:t xml:space="preserve">       </w:t>
      </w:r>
      <w:r>
        <w:rPr>
          <w:rFonts w:ascii="宋体" w:hAnsi="宋体"/>
          <w:b/>
          <w:szCs w:val="21"/>
          <w:u w:val="single"/>
        </w:rPr>
        <w:t xml:space="preserve">   </w:t>
      </w:r>
    </w:p>
    <w:p w14:paraId="460D01BB">
      <w:pPr>
        <w:snapToGrid w:val="0"/>
        <w:spacing w:line="360" w:lineRule="auto"/>
        <w:rPr>
          <w:rFonts w:hint="eastAsia"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r>
        <w:rPr>
          <w:rFonts w:hint="eastAsia" w:ascii="宋体" w:hAnsi="宋体"/>
          <w:szCs w:val="21"/>
        </w:rPr>
        <w:t>　    法定代表人（签字）：</w:t>
      </w:r>
      <w:r>
        <w:rPr>
          <w:rFonts w:hint="eastAsia" w:ascii="宋体" w:hAnsi="宋体"/>
          <w:szCs w:val="21"/>
          <w:u w:val="single"/>
        </w:rPr>
        <w:t xml:space="preserve">            </w:t>
      </w:r>
    </w:p>
    <w:p w14:paraId="7B282ECC">
      <w:pPr>
        <w:tabs>
          <w:tab w:val="left" w:pos="7185"/>
        </w:tabs>
        <w:snapToGrid w:val="0"/>
        <w:spacing w:line="360" w:lineRule="auto"/>
        <w:ind w:left="210" w:hanging="210" w:hangingChars="100"/>
        <w:rPr>
          <w:rFonts w:hint="eastAsia" w:ascii="宋体" w:hAnsi="宋体"/>
          <w:szCs w:val="21"/>
        </w:rPr>
      </w:pPr>
      <w:r>
        <w:rPr>
          <w:rFonts w:hint="eastAsia" w:ascii="宋体" w:hAnsi="宋体"/>
          <w:szCs w:val="21"/>
        </w:rPr>
        <w:t>委托代理人（签字）：                 委托代理人（签字）：</w:t>
      </w:r>
      <w:r>
        <w:rPr>
          <w:rFonts w:ascii="宋体" w:hAnsi="宋体"/>
          <w:szCs w:val="21"/>
        </w:rPr>
        <w:tab/>
      </w:r>
    </w:p>
    <w:p w14:paraId="0792E437">
      <w:pPr>
        <w:snapToGrid w:val="0"/>
        <w:spacing w:line="360" w:lineRule="auto"/>
        <w:rPr>
          <w:rFonts w:hint="eastAsia" w:ascii="宋体" w:hAnsi="宋体"/>
          <w:szCs w:val="21"/>
        </w:rPr>
      </w:pPr>
      <w:r>
        <w:rPr>
          <w:rFonts w:hint="eastAsia" w:ascii="宋体" w:hAnsi="宋体"/>
          <w:szCs w:val="21"/>
        </w:rPr>
        <w:t>开户银行：</w:t>
      </w:r>
      <w:r>
        <w:rPr>
          <w:rFonts w:hint="eastAsia" w:ascii="宋体" w:hAnsi="宋体"/>
          <w:szCs w:val="21"/>
          <w:u w:val="single"/>
        </w:rPr>
        <w:t xml:space="preserve">                    </w:t>
      </w:r>
      <w:r>
        <w:rPr>
          <w:rFonts w:hint="eastAsia" w:ascii="宋体" w:hAnsi="宋体"/>
          <w:szCs w:val="21"/>
        </w:rPr>
        <w:t>　    开户银行：</w:t>
      </w:r>
      <w:r>
        <w:rPr>
          <w:rFonts w:hint="eastAsia" w:ascii="宋体" w:hAnsi="宋体"/>
          <w:szCs w:val="21"/>
          <w:u w:val="single"/>
        </w:rPr>
        <w:t xml:space="preserve">                     </w:t>
      </w:r>
    </w:p>
    <w:p w14:paraId="788F92A8">
      <w:pPr>
        <w:snapToGrid w:val="0"/>
        <w:spacing w:line="360" w:lineRule="auto"/>
        <w:rPr>
          <w:rFonts w:hint="eastAsia" w:ascii="宋体" w:hAnsi="宋体"/>
          <w:szCs w:val="21"/>
          <w:u w:val="single"/>
        </w:rPr>
      </w:pPr>
      <w:r>
        <w:rPr>
          <w:rFonts w:hint="eastAsia" w:ascii="宋体" w:hAnsi="宋体"/>
          <w:szCs w:val="21"/>
        </w:rPr>
        <w:t>账号：</w:t>
      </w:r>
      <w:r>
        <w:rPr>
          <w:rFonts w:hint="eastAsia" w:ascii="宋体" w:hAnsi="宋体"/>
          <w:szCs w:val="21"/>
          <w:u w:val="single"/>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账号：</w:t>
      </w:r>
      <w:r>
        <w:rPr>
          <w:rFonts w:hint="eastAsia" w:ascii="宋体" w:hAnsi="宋体"/>
          <w:szCs w:val="21"/>
          <w:u w:val="single"/>
        </w:rPr>
        <w:t xml:space="preserve">                         </w:t>
      </w:r>
    </w:p>
    <w:p w14:paraId="472089DF">
      <w:pPr>
        <w:snapToGrid w:val="0"/>
        <w:spacing w:line="360" w:lineRule="auto"/>
        <w:rPr>
          <w:rFonts w:hint="eastAsia" w:ascii="宋体" w:hAnsi="宋体"/>
          <w:szCs w:val="21"/>
        </w:rPr>
      </w:pPr>
      <w:r>
        <w:rPr>
          <w:rFonts w:hint="eastAsia" w:ascii="宋体" w:hAnsi="宋体"/>
          <w:szCs w:val="21"/>
        </w:rPr>
        <w:t xml:space="preserve">签订日期：     年   月   日         签订日期：     年   月   日  </w:t>
      </w:r>
    </w:p>
    <w:p w14:paraId="4DF93D6F">
      <w:pPr>
        <w:tabs>
          <w:tab w:val="left" w:pos="900"/>
          <w:tab w:val="right" w:leader="dot" w:pos="8948"/>
        </w:tabs>
        <w:snapToGrid w:val="0"/>
        <w:spacing w:line="360" w:lineRule="auto"/>
        <w:jc w:val="left"/>
        <w:rPr>
          <w:rFonts w:hint="eastAsia" w:ascii="宋体" w:hAnsi="宋体"/>
          <w:szCs w:val="21"/>
          <w:u w:val="single"/>
        </w:rPr>
      </w:pPr>
      <w:r>
        <w:rPr>
          <w:rFonts w:hint="eastAsia" w:ascii="宋体" w:hAnsi="宋体"/>
          <w:smallCaps/>
          <w:szCs w:val="21"/>
        </w:rPr>
        <w:t>签订地点：</w:t>
      </w:r>
      <w:r>
        <w:rPr>
          <w:rFonts w:hint="eastAsia" w:ascii="宋体" w:hAnsi="宋体"/>
          <w:szCs w:val="21"/>
          <w:u w:val="single"/>
        </w:rPr>
        <w:t xml:space="preserve">                　 　</w:t>
      </w:r>
      <w:r>
        <w:rPr>
          <w:rFonts w:hint="eastAsia" w:ascii="宋体" w:hAnsi="宋体"/>
          <w:smallCaps/>
          <w:szCs w:val="21"/>
        </w:rPr>
        <w:t>　    签订地点：</w:t>
      </w:r>
      <w:r>
        <w:rPr>
          <w:rFonts w:hint="eastAsia" w:ascii="宋体" w:hAnsi="宋体"/>
          <w:szCs w:val="21"/>
          <w:u w:val="single"/>
        </w:rPr>
        <w:t xml:space="preserve">                   　 </w:t>
      </w:r>
    </w:p>
    <w:p w14:paraId="0B85F546">
      <w:pPr>
        <w:snapToGrid w:val="0"/>
        <w:spacing w:line="360" w:lineRule="auto"/>
        <w:rPr>
          <w:rFonts w:hint="eastAsia" w:ascii="宋体" w:hAnsi="宋体"/>
          <w:szCs w:val="21"/>
          <w:u w:val="single"/>
        </w:rPr>
      </w:pPr>
      <w:r>
        <w:rPr>
          <w:rFonts w:hint="eastAsia" w:ascii="宋体" w:hAnsi="宋体"/>
          <w:szCs w:val="21"/>
          <w:u w:val="single"/>
        </w:rPr>
        <w:br w:type="page"/>
      </w:r>
    </w:p>
    <w:p w14:paraId="6015EB7A">
      <w:pPr>
        <w:pStyle w:val="4"/>
        <w:rPr>
          <w:rFonts w:hint="eastAsia"/>
        </w:rPr>
      </w:pPr>
      <w:r>
        <w:rPr>
          <w:rFonts w:hint="eastAsia"/>
        </w:rPr>
        <w:t>附件</w:t>
      </w:r>
      <w:r>
        <w:t>1</w:t>
      </w:r>
      <w:r>
        <w:rPr>
          <w:rFonts w:hint="eastAsia"/>
        </w:rPr>
        <w:t xml:space="preserve"> 廉洁协议书</w:t>
      </w:r>
    </w:p>
    <w:p w14:paraId="5A2563A4">
      <w:pPr>
        <w:adjustRightInd w:val="0"/>
        <w:snapToGrid w:val="0"/>
        <w:spacing w:line="360" w:lineRule="auto"/>
        <w:ind w:firstLine="281" w:firstLineChars="100"/>
        <w:jc w:val="center"/>
        <w:rPr>
          <w:rFonts w:hint="eastAsia" w:ascii="宋体" w:hAnsi="宋体"/>
          <w:b/>
          <w:sz w:val="28"/>
          <w:szCs w:val="21"/>
          <w:u w:val="single"/>
        </w:rPr>
      </w:pPr>
      <w:r>
        <w:rPr>
          <w:rFonts w:hint="eastAsia" w:ascii="宋体" w:hAnsi="宋体"/>
          <w:b/>
          <w:sz w:val="28"/>
          <w:szCs w:val="21"/>
        </w:rPr>
        <w:t>廉洁协议书</w:t>
      </w:r>
    </w:p>
    <w:p w14:paraId="7A782052">
      <w:pPr>
        <w:adjustRightInd w:val="0"/>
        <w:snapToGrid w:val="0"/>
        <w:spacing w:line="360" w:lineRule="auto"/>
        <w:ind w:firstLine="425"/>
        <w:rPr>
          <w:rFonts w:hint="eastAsia" w:ascii="宋体" w:hAnsi="宋体"/>
          <w:szCs w:val="21"/>
        </w:rPr>
      </w:pPr>
    </w:p>
    <w:p w14:paraId="22016736">
      <w:pPr>
        <w:adjustRightInd w:val="0"/>
        <w:snapToGrid w:val="0"/>
        <w:spacing w:line="360" w:lineRule="auto"/>
        <w:ind w:firstLine="420" w:firstLineChars="200"/>
        <w:jc w:val="left"/>
        <w:rPr>
          <w:rFonts w:hint="eastAsia" w:ascii="宋体" w:hAnsi="宋体"/>
          <w:szCs w:val="21"/>
          <w:u w:val="single"/>
        </w:rPr>
      </w:pPr>
      <w:r>
        <w:rPr>
          <w:rFonts w:hint="eastAsia" w:ascii="宋体" w:hAnsi="宋体"/>
          <w:szCs w:val="21"/>
        </w:rPr>
        <w:t>为加强采购项目廉洁风险防控，促进购销双方规范履职，廉洁从业，有效实现采购目标，保护购销双方权益，根据国家有关法律法规和中央、省、市纪委廉洁建设有关规定，采购方（甲方）</w:t>
      </w:r>
      <w:r>
        <w:rPr>
          <w:rFonts w:hint="eastAsia" w:ascii="宋体" w:hAnsi="宋体"/>
          <w:szCs w:val="21"/>
          <w:u w:val="single"/>
        </w:rPr>
        <w:t xml:space="preserve">               </w:t>
      </w:r>
      <w:r>
        <w:rPr>
          <w:rFonts w:hint="eastAsia" w:ascii="宋体" w:hAnsi="宋体"/>
          <w:szCs w:val="21"/>
        </w:rPr>
        <w:t>与供应方（乙方）</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就</w:t>
      </w:r>
      <w:r>
        <w:rPr>
          <w:rFonts w:hint="eastAsia" w:ascii="宋体" w:hAnsi="宋体"/>
          <w:szCs w:val="21"/>
          <w:u w:val="single"/>
        </w:rPr>
        <w:t>《 广州工控大湾区现代高端装备研发生产基地项目（三期）办公家具采购项目相关服务合同 》</w:t>
      </w:r>
      <w:r>
        <w:rPr>
          <w:rFonts w:hint="eastAsia" w:ascii="宋体" w:hAnsi="宋体"/>
          <w:szCs w:val="21"/>
        </w:rPr>
        <w:t>订立本廉洁协议书，以资双方共同遵照执行。</w:t>
      </w:r>
    </w:p>
    <w:p w14:paraId="2B48FFCD">
      <w:pPr>
        <w:adjustRightInd w:val="0"/>
        <w:snapToGrid w:val="0"/>
        <w:spacing w:line="360" w:lineRule="auto"/>
        <w:ind w:firstLine="422" w:firstLineChars="200"/>
        <w:jc w:val="left"/>
        <w:rPr>
          <w:rFonts w:hint="eastAsia" w:ascii="宋体" w:hAnsi="宋体"/>
          <w:szCs w:val="21"/>
        </w:rPr>
      </w:pPr>
      <w:r>
        <w:rPr>
          <w:rFonts w:hint="eastAsia" w:ascii="宋体" w:hAnsi="宋体"/>
          <w:b/>
          <w:szCs w:val="21"/>
        </w:rPr>
        <w:t>第一条  甲乙双方的权利和义务</w:t>
      </w:r>
    </w:p>
    <w:p w14:paraId="74768291">
      <w:pPr>
        <w:adjustRightInd w:val="0"/>
        <w:snapToGrid w:val="0"/>
        <w:spacing w:line="360" w:lineRule="auto"/>
        <w:rPr>
          <w:rFonts w:hint="eastAsia" w:ascii="宋体" w:hAnsi="宋体"/>
          <w:szCs w:val="21"/>
        </w:rPr>
      </w:pPr>
      <w:r>
        <w:rPr>
          <w:rFonts w:hint="eastAsia" w:ascii="宋体" w:hAnsi="宋体"/>
          <w:szCs w:val="21"/>
        </w:rPr>
        <w:t>（一）严格遵守国家关于市场准入、招标投标、物资服务采购等市场经济活动的法律法规、政策以及廉洁自律的规定，做到合法经营。</w:t>
      </w:r>
    </w:p>
    <w:p w14:paraId="23C2EA71">
      <w:pPr>
        <w:adjustRightInd w:val="0"/>
        <w:snapToGrid w:val="0"/>
        <w:spacing w:line="360" w:lineRule="auto"/>
        <w:ind w:firstLine="420" w:firstLineChars="200"/>
        <w:rPr>
          <w:rFonts w:hint="eastAsia" w:ascii="宋体" w:hAnsi="宋体"/>
          <w:szCs w:val="21"/>
        </w:rPr>
      </w:pPr>
      <w:r>
        <w:rPr>
          <w:rFonts w:hint="eastAsia" w:ascii="宋体" w:hAnsi="宋体"/>
          <w:szCs w:val="21"/>
        </w:rPr>
        <w:t>（二）严格遵守招投标及采购相关法律法规及甲方关于招投标及采购的规定。前述合同签订后，双方严格执行合同文件，自觉履行合同约定的相关职责和义务。</w:t>
      </w:r>
    </w:p>
    <w:p w14:paraId="624EB9EE">
      <w:pPr>
        <w:adjustRightInd w:val="0"/>
        <w:snapToGrid w:val="0"/>
        <w:spacing w:line="360" w:lineRule="auto"/>
        <w:rPr>
          <w:rFonts w:hint="eastAsia" w:ascii="宋体" w:hAnsi="宋体"/>
          <w:szCs w:val="21"/>
        </w:rPr>
      </w:pPr>
      <w:r>
        <w:rPr>
          <w:rFonts w:hint="eastAsia" w:ascii="宋体" w:hAnsi="宋体"/>
          <w:szCs w:val="21"/>
        </w:rPr>
        <w:t xml:space="preserve">    （三）业务活动必须坚持公平、公开、公正、诚信、守信的原则，不得就前述合同中的相关物料设备的型号、规格、质量、数量、价格和验收方式，以及服务标准、服务内容等合同条款进行私下商谈或者达成默契，不得为获取不正当利益达成私下协议，不得损害国家和集体利益。</w:t>
      </w:r>
    </w:p>
    <w:p w14:paraId="6B2F4F70">
      <w:pPr>
        <w:adjustRightInd w:val="0"/>
        <w:snapToGrid w:val="0"/>
        <w:spacing w:line="360" w:lineRule="auto"/>
        <w:rPr>
          <w:rFonts w:hint="eastAsia" w:ascii="宋体" w:hAnsi="宋体"/>
          <w:szCs w:val="21"/>
        </w:rPr>
      </w:pPr>
      <w:r>
        <w:rPr>
          <w:rFonts w:hint="eastAsia" w:ascii="宋体" w:hAnsi="宋体"/>
          <w:szCs w:val="21"/>
        </w:rPr>
        <w:t xml:space="preserve">    （四）建立健全廉洁制度，开展廉洁教育，公布举报电话及监督方式。</w:t>
      </w:r>
    </w:p>
    <w:p w14:paraId="0A549F79">
      <w:pPr>
        <w:adjustRightInd w:val="0"/>
        <w:snapToGrid w:val="0"/>
        <w:spacing w:line="360" w:lineRule="auto"/>
        <w:rPr>
          <w:rFonts w:hint="eastAsia" w:ascii="宋体" w:hAnsi="宋体"/>
          <w:szCs w:val="21"/>
        </w:rPr>
      </w:pPr>
      <w:r>
        <w:rPr>
          <w:rFonts w:hint="eastAsia" w:ascii="宋体" w:hAnsi="宋体"/>
          <w:szCs w:val="21"/>
        </w:rPr>
        <w:t xml:space="preserve">    （五）发现对方在业务活动中有违反廉洁规定的行为或严重违反合同义务条款的行为，应及时提醒对方纠正。情节严重的，应向其上级相关部门反映和举报，相关部门处理的结果应及时向对方通报。</w:t>
      </w:r>
    </w:p>
    <w:p w14:paraId="73F27617">
      <w:pPr>
        <w:adjustRightInd w:val="0"/>
        <w:snapToGrid w:val="0"/>
        <w:spacing w:line="360" w:lineRule="auto"/>
        <w:rPr>
          <w:rFonts w:hint="eastAsia" w:ascii="宋体" w:hAnsi="宋体"/>
          <w:szCs w:val="21"/>
        </w:rPr>
      </w:pPr>
      <w:r>
        <w:rPr>
          <w:rFonts w:hint="eastAsia" w:ascii="宋体" w:hAnsi="宋体"/>
          <w:szCs w:val="21"/>
        </w:rPr>
        <w:t xml:space="preserve">    （六）不得与相关权利方和利益方勾肩搭背，内外勾结，在本采购项目实施过程中非法谋利。</w:t>
      </w:r>
    </w:p>
    <w:p w14:paraId="7F215005">
      <w:pPr>
        <w:adjustRightInd w:val="0"/>
        <w:snapToGrid w:val="0"/>
        <w:spacing w:line="360" w:lineRule="auto"/>
        <w:rPr>
          <w:rFonts w:hint="eastAsia" w:ascii="宋体" w:hAnsi="宋体"/>
          <w:szCs w:val="21"/>
        </w:rPr>
      </w:pPr>
      <w:r>
        <w:rPr>
          <w:rFonts w:hint="eastAsia" w:ascii="宋体" w:hAnsi="宋体"/>
          <w:szCs w:val="21"/>
        </w:rPr>
        <w:t xml:space="preserve">    （七）不得通过说情、批示、打招呼、暗示或强迫命令等形式，干扰、妨碍正常业务活动。</w:t>
      </w:r>
    </w:p>
    <w:p w14:paraId="576FE796">
      <w:pPr>
        <w:adjustRightInd w:val="0"/>
        <w:snapToGrid w:val="0"/>
        <w:spacing w:line="360" w:lineRule="auto"/>
        <w:ind w:firstLine="420" w:firstLineChars="200"/>
        <w:rPr>
          <w:rFonts w:hint="eastAsia" w:ascii="宋体" w:hAnsi="宋体"/>
          <w:szCs w:val="21"/>
        </w:rPr>
      </w:pPr>
      <w:r>
        <w:rPr>
          <w:rFonts w:hint="eastAsia" w:ascii="宋体" w:hAnsi="宋体"/>
          <w:szCs w:val="21"/>
        </w:rPr>
        <w:t>（八）不得干扰、妨碍查处本采购项目中的违规违纪违法行为。</w:t>
      </w:r>
    </w:p>
    <w:p w14:paraId="18070063">
      <w:pPr>
        <w:adjustRightInd w:val="0"/>
        <w:snapToGrid w:val="0"/>
        <w:spacing w:line="360" w:lineRule="auto"/>
        <w:ind w:firstLine="422" w:firstLineChars="200"/>
        <w:jc w:val="left"/>
        <w:rPr>
          <w:rFonts w:hint="eastAsia" w:ascii="宋体" w:hAnsi="宋体"/>
          <w:b/>
          <w:szCs w:val="21"/>
        </w:rPr>
      </w:pPr>
      <w:r>
        <w:rPr>
          <w:rFonts w:hint="eastAsia" w:ascii="宋体" w:hAnsi="宋体"/>
          <w:b/>
          <w:szCs w:val="21"/>
        </w:rPr>
        <w:t>第二条  甲方的义务</w:t>
      </w:r>
    </w:p>
    <w:p w14:paraId="3A5CAB4C">
      <w:pPr>
        <w:snapToGrid w:val="0"/>
        <w:spacing w:line="360" w:lineRule="auto"/>
        <w:ind w:firstLine="420" w:firstLineChars="200"/>
        <w:rPr>
          <w:rFonts w:hint="eastAsia" w:ascii="宋体" w:hAnsi="宋体"/>
          <w:szCs w:val="21"/>
        </w:rPr>
      </w:pPr>
      <w:r>
        <w:rPr>
          <w:rFonts w:hint="eastAsia" w:ascii="宋体" w:hAnsi="宋体"/>
          <w:szCs w:val="21"/>
        </w:rPr>
        <w:t>甲方及甲方领导人员和从事本采购项目的工作人员（以下简称“甲方相关人员”），在项目实施的事前、事中和事后都须遵守以下规定：</w:t>
      </w:r>
    </w:p>
    <w:p w14:paraId="72C2D181">
      <w:pPr>
        <w:snapToGrid w:val="0"/>
        <w:spacing w:line="360" w:lineRule="auto"/>
        <w:ind w:firstLine="420" w:firstLineChars="200"/>
        <w:rPr>
          <w:rFonts w:hint="eastAsia" w:ascii="宋体" w:hAnsi="宋体"/>
          <w:szCs w:val="21"/>
        </w:rPr>
      </w:pPr>
      <w:r>
        <w:rPr>
          <w:rFonts w:hint="eastAsia" w:ascii="宋体" w:hAnsi="宋体"/>
          <w:szCs w:val="21"/>
        </w:rPr>
        <w:t>（一）甲方及甲方相关人员应按照公平、公正、公开和诚实守信的原则开展工作，为乙方提供公平的竞争环境与平台；</w:t>
      </w:r>
    </w:p>
    <w:p w14:paraId="18E39B07">
      <w:pPr>
        <w:snapToGrid w:val="0"/>
        <w:spacing w:line="360" w:lineRule="auto"/>
        <w:ind w:firstLine="420" w:firstLineChars="200"/>
        <w:rPr>
          <w:rFonts w:hint="eastAsia" w:ascii="宋体" w:hAnsi="宋体"/>
          <w:szCs w:val="21"/>
        </w:rPr>
      </w:pPr>
      <w:r>
        <w:rPr>
          <w:rFonts w:hint="eastAsia" w:ascii="宋体" w:hAnsi="宋体"/>
          <w:szCs w:val="21"/>
        </w:rPr>
        <w:t>（二）甲方相关人员不得索要或接受与本采购项目有利益关系的单位及个人的礼品、礼金、红包、有价证券、支付凭证、纪念品、高档办公用品、土特产、通讯和交通工具、不动产、住房装修，或者宴请、外出旅游、消费娱乐等非正当利益；不得参与任何形式的赌博并通过赌博方式收受乙方财物；不得在乙方报销任何应由甲方及其相关人员支付的费用；</w:t>
      </w:r>
    </w:p>
    <w:p w14:paraId="6DF290BD">
      <w:pPr>
        <w:snapToGrid w:val="0"/>
        <w:spacing w:line="360" w:lineRule="auto"/>
        <w:ind w:firstLine="420" w:firstLineChars="200"/>
        <w:rPr>
          <w:rFonts w:hint="eastAsia" w:ascii="宋体" w:hAnsi="宋体"/>
          <w:szCs w:val="21"/>
        </w:rPr>
      </w:pPr>
      <w:r>
        <w:rPr>
          <w:rFonts w:hint="eastAsia" w:ascii="宋体" w:hAnsi="宋体"/>
          <w:szCs w:val="21"/>
        </w:rPr>
        <w:t>（三）甲方相关人员不得借本采购项目实施之机，为父母、配偶、子女及其他特定关系人谋取不正当利益；不得要求或接受乙方为其操办婚丧喜庆事宜提供方便；不得在乙方或与乙方有股权关联的企业兼职，不得向乙方介绍家属或者亲友从事与甲方业务有关的经济活动；</w:t>
      </w:r>
    </w:p>
    <w:p w14:paraId="76360565">
      <w:pPr>
        <w:snapToGrid w:val="0"/>
        <w:spacing w:line="360" w:lineRule="auto"/>
        <w:ind w:firstLine="420" w:firstLineChars="200"/>
        <w:rPr>
          <w:rFonts w:hint="eastAsia" w:ascii="宋体" w:hAnsi="宋体"/>
          <w:szCs w:val="21"/>
        </w:rPr>
      </w:pPr>
      <w:r>
        <w:rPr>
          <w:rFonts w:hint="eastAsia" w:ascii="宋体" w:hAnsi="宋体"/>
          <w:szCs w:val="21"/>
        </w:rPr>
        <w:t>（四）甲方相关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14:paraId="12AFCBF7">
      <w:pPr>
        <w:snapToGrid w:val="0"/>
        <w:spacing w:line="360" w:lineRule="auto"/>
        <w:ind w:firstLine="420" w:firstLineChars="200"/>
        <w:rPr>
          <w:rFonts w:hint="eastAsia" w:ascii="宋体" w:hAnsi="宋体"/>
          <w:szCs w:val="21"/>
        </w:rPr>
      </w:pPr>
      <w:r>
        <w:rPr>
          <w:rFonts w:hint="eastAsia" w:ascii="宋体" w:hAnsi="宋体"/>
          <w:szCs w:val="21"/>
        </w:rPr>
        <w:t>（五）甲方相关人员不得利用职务之便收受乙方以回扣、手续费、加班费、咨询费、劳务费、协调费、辛苦费等各种名义给予或赠送的钱物；不得接受乙方给予或赠送的干股或红利；</w:t>
      </w:r>
    </w:p>
    <w:p w14:paraId="124BCEFD">
      <w:pPr>
        <w:snapToGrid w:val="0"/>
        <w:spacing w:line="360" w:lineRule="auto"/>
        <w:ind w:firstLine="420" w:firstLineChars="200"/>
        <w:rPr>
          <w:rFonts w:hint="eastAsia" w:ascii="宋体" w:hAnsi="宋体"/>
          <w:szCs w:val="21"/>
        </w:rPr>
      </w:pPr>
      <w:r>
        <w:rPr>
          <w:rFonts w:hint="eastAsia" w:ascii="宋体" w:hAnsi="宋体"/>
          <w:szCs w:val="21"/>
        </w:rPr>
        <w:t>（六）甲方相关人员不得安排其父母、配偶、子女及其他特定关系人从事与本采购项目相关的材料设备供应、分包、劳务等经济活动；</w:t>
      </w:r>
    </w:p>
    <w:p w14:paraId="7BDD57E7">
      <w:pPr>
        <w:snapToGrid w:val="0"/>
        <w:spacing w:line="360" w:lineRule="auto"/>
        <w:ind w:firstLine="420" w:firstLineChars="200"/>
        <w:rPr>
          <w:rFonts w:hint="eastAsia" w:ascii="宋体" w:hAnsi="宋体"/>
          <w:szCs w:val="21"/>
        </w:rPr>
      </w:pPr>
      <w:r>
        <w:rPr>
          <w:rFonts w:hint="eastAsia" w:ascii="宋体" w:hAnsi="宋体"/>
          <w:szCs w:val="21"/>
        </w:rPr>
        <w:t>（七）甲方相关人员不得利用职权从事各种有偿中介活动，不得以任何理由向乙方指定材料、原料及服务供应商，不得要求乙方购买前述合同无关的材料和设备或者提供额外的服务内容；</w:t>
      </w:r>
    </w:p>
    <w:p w14:paraId="4AAC7A0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（八）甲方及甲方相关人员不得违反国家法律法规党内规章制度及甲方内部的其他禁止性规定。</w:t>
      </w:r>
    </w:p>
    <w:p w14:paraId="2E138C20">
      <w:pPr>
        <w:adjustRightInd w:val="0"/>
        <w:snapToGrid w:val="0"/>
        <w:spacing w:line="360" w:lineRule="auto"/>
        <w:ind w:firstLine="422" w:firstLineChars="200"/>
        <w:jc w:val="left"/>
        <w:rPr>
          <w:rFonts w:hint="eastAsia" w:ascii="宋体" w:hAnsi="宋体"/>
          <w:b/>
          <w:szCs w:val="21"/>
        </w:rPr>
      </w:pPr>
      <w:r>
        <w:rPr>
          <w:rFonts w:hint="eastAsia" w:ascii="宋体" w:hAnsi="宋体"/>
          <w:b/>
          <w:szCs w:val="21"/>
        </w:rPr>
        <w:t>第三条  乙方的义务</w:t>
      </w:r>
    </w:p>
    <w:p w14:paraId="54F90217">
      <w:pPr>
        <w:adjustRightInd w:val="0"/>
        <w:snapToGrid w:val="0"/>
        <w:spacing w:line="360" w:lineRule="auto"/>
        <w:rPr>
          <w:rFonts w:hint="eastAsia" w:ascii="宋体" w:hAnsi="宋体"/>
          <w:szCs w:val="21"/>
        </w:rPr>
      </w:pPr>
      <w:r>
        <w:rPr>
          <w:rFonts w:hint="eastAsia" w:ascii="宋体" w:hAnsi="宋体"/>
          <w:szCs w:val="21"/>
        </w:rPr>
        <w:t xml:space="preserve">    乙方及其领导人员和该采购项目的工作人员（以下简称“乙方相关人员”）应与甲方及甲方相关人员保持正常的业务往来，严格执行法律法规规定，按照规定程序开展业务工作，在采购项目实施的事前、事中和事后都须遵守以下规定：</w:t>
      </w:r>
    </w:p>
    <w:p w14:paraId="479542AF">
      <w:pPr>
        <w:adjustRightInd w:val="0"/>
        <w:snapToGrid w:val="0"/>
        <w:spacing w:line="360" w:lineRule="auto"/>
        <w:rPr>
          <w:rFonts w:hint="eastAsia" w:ascii="宋体" w:hAnsi="宋体"/>
          <w:szCs w:val="21"/>
        </w:rPr>
      </w:pPr>
      <w:r>
        <w:rPr>
          <w:rFonts w:hint="eastAsia" w:ascii="宋体" w:hAnsi="宋体"/>
          <w:szCs w:val="21"/>
        </w:rPr>
        <w:t xml:space="preserve">    （一）乙方及乙方相关人员不得在采购招投标或者磋商阶段以违反国家法律法规、党章党纪规定的方式获取不正当利益；</w:t>
      </w:r>
    </w:p>
    <w:p w14:paraId="77F1D917">
      <w:pPr>
        <w:adjustRightInd w:val="0"/>
        <w:snapToGrid w:val="0"/>
        <w:spacing w:line="360" w:lineRule="auto"/>
        <w:ind w:firstLine="420"/>
        <w:rPr>
          <w:rFonts w:hint="eastAsia" w:ascii="宋体" w:hAnsi="宋体"/>
          <w:szCs w:val="21"/>
        </w:rPr>
      </w:pPr>
      <w:r>
        <w:rPr>
          <w:rFonts w:hint="eastAsia" w:ascii="宋体" w:hAnsi="宋体"/>
          <w:szCs w:val="21"/>
        </w:rPr>
        <w:t>（二）乙方相关人员不得以任何理由向甲方及甲方相关人员行贿或馈赠礼金、有价证券、贵重礼品；不得以任何理由安排甲方及甲方相关人员参加可能影响相关业务公平、公开、公正、公平性的宴请及娱乐活动；不得以任何名义为甲方及甲方相关人员报销应由甲方单位或个人支付的任何费用；</w:t>
      </w:r>
    </w:p>
    <w:p w14:paraId="149481DF">
      <w:pPr>
        <w:adjustRightInd w:val="0"/>
        <w:snapToGrid w:val="0"/>
        <w:spacing w:line="360" w:lineRule="auto"/>
        <w:ind w:firstLine="420"/>
        <w:rPr>
          <w:rFonts w:hint="eastAsia" w:ascii="宋体" w:hAnsi="宋体"/>
          <w:szCs w:val="21"/>
        </w:rPr>
      </w:pPr>
      <w:r>
        <w:rPr>
          <w:rFonts w:hint="eastAsia" w:ascii="宋体" w:hAnsi="宋体"/>
          <w:szCs w:val="21"/>
        </w:rPr>
        <w:t>（三）乙方及乙方相关人员不得因前述合同履行向甲方、甲方相关人员及其亲属有输送利益的行为；</w:t>
      </w:r>
    </w:p>
    <w:p w14:paraId="5EAF8122">
      <w:pPr>
        <w:adjustRightInd w:val="0"/>
        <w:snapToGrid w:val="0"/>
        <w:spacing w:line="360" w:lineRule="auto"/>
        <w:ind w:firstLine="420"/>
        <w:rPr>
          <w:rFonts w:hint="eastAsia" w:ascii="宋体" w:hAnsi="宋体"/>
          <w:szCs w:val="21"/>
        </w:rPr>
      </w:pPr>
      <w:r>
        <w:rPr>
          <w:rFonts w:hint="eastAsia" w:ascii="宋体" w:hAnsi="宋体"/>
          <w:szCs w:val="21"/>
        </w:rPr>
        <w:t>（四）乙方及乙方相关人员不得为甲方、甲方相关人员及其亲属个人购置或提供通讯工具和高档办公用品等物品，也不得为甲方相关人员提供与工作无关的不动产、交通工具等；</w:t>
      </w:r>
    </w:p>
    <w:p w14:paraId="72513A86">
      <w:pPr>
        <w:adjustRightInd w:val="0"/>
        <w:snapToGrid w:val="0"/>
        <w:spacing w:line="360" w:lineRule="auto"/>
        <w:ind w:firstLine="420" w:firstLineChars="200"/>
        <w:rPr>
          <w:rFonts w:hint="eastAsia" w:ascii="宋体" w:hAnsi="宋体"/>
          <w:szCs w:val="21"/>
        </w:rPr>
      </w:pPr>
      <w:r>
        <w:rPr>
          <w:rFonts w:hint="eastAsia" w:ascii="宋体" w:hAnsi="宋体"/>
          <w:szCs w:val="21"/>
        </w:rPr>
        <w:t>（五）乙方及乙方相关人员不得以回扣、手续费、加班费、咨询费、劳务费、协调费、辛苦费等各种名义向甲方及甲方相关人员给予或赠送钱物；不得向甲方及甲方相关人员提供干股或红利；</w:t>
      </w:r>
    </w:p>
    <w:p w14:paraId="59D784DC">
      <w:pPr>
        <w:snapToGrid w:val="0"/>
        <w:spacing w:line="360" w:lineRule="auto"/>
        <w:ind w:firstLine="420" w:firstLineChars="200"/>
        <w:rPr>
          <w:rFonts w:hint="eastAsia" w:ascii="宋体" w:hAnsi="宋体"/>
          <w:szCs w:val="21"/>
        </w:rPr>
      </w:pPr>
      <w:r>
        <w:rPr>
          <w:rFonts w:hint="eastAsia" w:ascii="宋体" w:hAnsi="宋体"/>
          <w:szCs w:val="21"/>
        </w:rPr>
        <w:t>（六）乙方及乙方相关人员不得以谋取非正当利益为目的，擅自与甲方或甲方相关人员就与本采购项目有关的业务问题进行私下商谈或者达成利益默契；</w:t>
      </w:r>
    </w:p>
    <w:p w14:paraId="5DE078B1">
      <w:pPr>
        <w:snapToGrid w:val="0"/>
        <w:spacing w:line="360" w:lineRule="auto"/>
        <w:ind w:firstLine="420" w:firstLineChars="200"/>
        <w:rPr>
          <w:rFonts w:hint="eastAsia" w:ascii="宋体" w:hAnsi="宋体"/>
          <w:szCs w:val="21"/>
        </w:rPr>
      </w:pPr>
      <w:r>
        <w:rPr>
          <w:rFonts w:hint="eastAsia" w:ascii="宋体" w:hAnsi="宋体"/>
          <w:szCs w:val="21"/>
        </w:rPr>
        <w:t>（七）乙方及乙方相关人员不得违反国家法律法规及党内规章制度的其他禁止性规定；</w:t>
      </w:r>
    </w:p>
    <w:p w14:paraId="6D6E1491">
      <w:pPr>
        <w:adjustRightInd w:val="0"/>
        <w:snapToGrid w:val="0"/>
        <w:spacing w:line="360" w:lineRule="auto"/>
        <w:ind w:firstLine="420" w:firstLineChars="200"/>
        <w:rPr>
          <w:rFonts w:hint="eastAsia" w:ascii="宋体" w:hAnsi="宋体"/>
          <w:szCs w:val="21"/>
        </w:rPr>
      </w:pPr>
      <w:r>
        <w:rPr>
          <w:rFonts w:hint="eastAsia" w:ascii="宋体" w:hAnsi="宋体"/>
          <w:szCs w:val="21"/>
        </w:rPr>
        <w:t>（八）乙方或乙方相关人员发现甲方相关人员有违反本廉洁协议书规定的，应向甲方举报。</w:t>
      </w:r>
    </w:p>
    <w:p w14:paraId="4C3104A9">
      <w:pPr>
        <w:adjustRightInd w:val="0"/>
        <w:snapToGrid w:val="0"/>
        <w:spacing w:line="360" w:lineRule="auto"/>
        <w:ind w:firstLine="422" w:firstLineChars="200"/>
        <w:jc w:val="left"/>
        <w:rPr>
          <w:rFonts w:hint="eastAsia" w:ascii="宋体" w:hAnsi="宋体"/>
          <w:b/>
          <w:szCs w:val="21"/>
        </w:rPr>
      </w:pPr>
      <w:r>
        <w:rPr>
          <w:rFonts w:hint="eastAsia" w:ascii="宋体" w:hAnsi="宋体"/>
          <w:b/>
          <w:szCs w:val="21"/>
        </w:rPr>
        <w:t>第四条  违约责任</w:t>
      </w:r>
    </w:p>
    <w:p w14:paraId="5B5C3FC2">
      <w:pPr>
        <w:adjustRightInd w:val="0"/>
        <w:snapToGrid w:val="0"/>
        <w:spacing w:line="360" w:lineRule="auto"/>
        <w:rPr>
          <w:rFonts w:hint="eastAsia" w:ascii="宋体" w:hAnsi="宋体"/>
          <w:szCs w:val="21"/>
        </w:rPr>
      </w:pPr>
      <w:r>
        <w:rPr>
          <w:rFonts w:hint="eastAsia" w:ascii="宋体" w:hAnsi="宋体"/>
          <w:szCs w:val="21"/>
        </w:rPr>
        <w:t xml:space="preserve">    （一）甲方及甲方相关人员违反本廉洁协议书第一、二条，按管理权限，依据有关规定给予党纪、政纪或组织处理；涉嫌犯罪的，移交司法机关追究刑事责任；给乙方造成经济损失的，应予以赔偿。</w:t>
      </w:r>
    </w:p>
    <w:p w14:paraId="4D17B451">
      <w:pPr>
        <w:adjustRightInd w:val="0"/>
        <w:snapToGrid w:val="0"/>
        <w:spacing w:line="360" w:lineRule="auto"/>
        <w:ind w:firstLine="420" w:firstLineChars="200"/>
        <w:rPr>
          <w:rFonts w:hint="eastAsia" w:ascii="宋体" w:hAnsi="宋体"/>
          <w:szCs w:val="21"/>
        </w:rPr>
      </w:pPr>
      <w:r>
        <w:rPr>
          <w:rFonts w:hint="eastAsia" w:ascii="宋体" w:hAnsi="宋体"/>
          <w:szCs w:val="21"/>
        </w:rPr>
        <w:t>（二）乙方及乙方相关人员违反本廉洁协议书第一、三条:</w:t>
      </w:r>
    </w:p>
    <w:p w14:paraId="71C306DE">
      <w:pPr>
        <w:adjustRightInd w:val="0"/>
        <w:snapToGrid w:val="0"/>
        <w:spacing w:line="360" w:lineRule="auto"/>
        <w:ind w:firstLine="420" w:firstLineChars="200"/>
        <w:rPr>
          <w:rFonts w:hint="eastAsia" w:ascii="宋体" w:hAnsi="宋体"/>
          <w:szCs w:val="21"/>
        </w:rPr>
      </w:pPr>
      <w:r>
        <w:rPr>
          <w:rFonts w:hint="eastAsia" w:ascii="宋体" w:hAnsi="宋体"/>
          <w:szCs w:val="21"/>
        </w:rPr>
        <w:t xml:space="preserve">（1）通过不正当手段中标或者签订合同的，依据国家和甲方有关规定给予处理，甲方有权取消中标资格或解除合同，并追究乙方相应责任； </w:t>
      </w:r>
    </w:p>
    <w:p w14:paraId="4A09C080">
      <w:pPr>
        <w:adjustRightInd w:val="0"/>
        <w:snapToGrid w:val="0"/>
        <w:spacing w:line="360" w:lineRule="auto"/>
        <w:ind w:firstLine="420" w:firstLineChars="200"/>
        <w:rPr>
          <w:rFonts w:hint="eastAsia" w:ascii="宋体" w:hAnsi="宋体"/>
          <w:szCs w:val="21"/>
        </w:rPr>
      </w:pPr>
      <w:r>
        <w:rPr>
          <w:rFonts w:hint="eastAsia" w:ascii="宋体" w:hAnsi="宋体"/>
          <w:szCs w:val="21"/>
        </w:rPr>
        <w:t>（2）应全额返还用不正当手段获取的非法所得；</w:t>
      </w:r>
    </w:p>
    <w:p w14:paraId="61E1A073">
      <w:pPr>
        <w:adjustRightInd w:val="0"/>
        <w:snapToGrid w:val="0"/>
        <w:spacing w:line="360" w:lineRule="auto"/>
        <w:ind w:firstLine="420" w:firstLineChars="200"/>
        <w:rPr>
          <w:rFonts w:hint="eastAsia" w:ascii="宋体" w:hAnsi="宋体"/>
          <w:szCs w:val="21"/>
        </w:rPr>
      </w:pPr>
      <w:r>
        <w:rPr>
          <w:rFonts w:hint="eastAsia" w:ascii="宋体" w:hAnsi="宋体"/>
          <w:szCs w:val="21"/>
        </w:rPr>
        <w:t>（3）给甲方造成经济损失的，乙方应予以赔偿；</w:t>
      </w:r>
    </w:p>
    <w:p w14:paraId="148807A8">
      <w:pPr>
        <w:adjustRightInd w:val="0"/>
        <w:snapToGrid w:val="0"/>
        <w:spacing w:line="360" w:lineRule="auto"/>
        <w:ind w:firstLine="420" w:firstLineChars="200"/>
        <w:rPr>
          <w:rFonts w:hint="eastAsia" w:ascii="宋体" w:hAnsi="宋体"/>
          <w:szCs w:val="21"/>
        </w:rPr>
      </w:pPr>
      <w:r>
        <w:rPr>
          <w:rFonts w:hint="eastAsia" w:ascii="宋体" w:hAnsi="宋体"/>
          <w:szCs w:val="21"/>
        </w:rPr>
        <w:t>（4）甲方有权扣除乙方依据前述合同支付的全部履约保函的金额,如未提交履约保函，甲方有权要求乙方支付该合同总金额20%作为违约金处罚；</w:t>
      </w:r>
    </w:p>
    <w:p w14:paraId="77CC1B12">
      <w:pPr>
        <w:adjustRightInd w:val="0"/>
        <w:snapToGrid w:val="0"/>
        <w:spacing w:line="360" w:lineRule="auto"/>
        <w:ind w:firstLine="420" w:firstLineChars="200"/>
        <w:rPr>
          <w:rFonts w:hint="eastAsia" w:ascii="宋体" w:hAnsi="宋体"/>
          <w:szCs w:val="21"/>
        </w:rPr>
      </w:pPr>
      <w:r>
        <w:rPr>
          <w:rFonts w:hint="eastAsia" w:ascii="宋体" w:hAnsi="宋体"/>
          <w:szCs w:val="21"/>
        </w:rPr>
        <w:t>（</w:t>
      </w:r>
      <w:r>
        <w:rPr>
          <w:rFonts w:ascii="宋体" w:hAnsi="宋体"/>
          <w:szCs w:val="21"/>
        </w:rPr>
        <w:t>5</w:t>
      </w:r>
      <w:r>
        <w:rPr>
          <w:rFonts w:hint="eastAsia" w:ascii="宋体" w:hAnsi="宋体"/>
          <w:szCs w:val="21"/>
        </w:rPr>
        <w:t>）乙方将被甲方列入企业“黑名单”，禁止进入甲方企业（含下属公司）从事经营活动；情节严重的，甲方可以将相关情况通报乙方的行政主管部门或行业协会；构成犯罪的，移交司法机关追究法律责任。</w:t>
      </w:r>
    </w:p>
    <w:p w14:paraId="5E84E279">
      <w:pPr>
        <w:adjustRightInd w:val="0"/>
        <w:snapToGrid w:val="0"/>
        <w:spacing w:line="360" w:lineRule="auto"/>
        <w:ind w:firstLine="422" w:firstLineChars="200"/>
        <w:rPr>
          <w:rFonts w:hint="eastAsia" w:ascii="宋体" w:hAnsi="宋体"/>
          <w:szCs w:val="21"/>
        </w:rPr>
      </w:pPr>
      <w:r>
        <w:rPr>
          <w:rFonts w:hint="eastAsia" w:ascii="宋体" w:hAnsi="宋体"/>
          <w:b/>
          <w:szCs w:val="21"/>
        </w:rPr>
        <w:t>第五条</w:t>
      </w:r>
      <w:r>
        <w:rPr>
          <w:rFonts w:hint="eastAsia" w:ascii="宋体" w:hAnsi="宋体"/>
          <w:szCs w:val="21"/>
        </w:rPr>
        <w:t xml:space="preserve">  本廉洁协议书由双方或双方上级单位负责监督。甲乙双方或双方上级单位可以对本廉洁协议书履行情况进行检查。</w:t>
      </w:r>
    </w:p>
    <w:p w14:paraId="084135C5">
      <w:pPr>
        <w:adjustRightInd w:val="0"/>
        <w:snapToGrid w:val="0"/>
        <w:spacing w:line="360" w:lineRule="auto"/>
        <w:ind w:firstLine="411" w:firstLineChars="195"/>
        <w:rPr>
          <w:rFonts w:hint="eastAsia" w:ascii="宋体" w:hAnsi="宋体"/>
          <w:szCs w:val="21"/>
        </w:rPr>
      </w:pPr>
      <w:r>
        <w:rPr>
          <w:rFonts w:hint="eastAsia" w:ascii="宋体" w:hAnsi="宋体"/>
          <w:b/>
          <w:szCs w:val="21"/>
        </w:rPr>
        <w:t>第六条</w:t>
      </w:r>
      <w:r>
        <w:rPr>
          <w:rFonts w:hint="eastAsia" w:ascii="宋体" w:hAnsi="宋体"/>
          <w:szCs w:val="21"/>
        </w:rPr>
        <w:t xml:space="preserve">  本协议作为前述合同的附件，并具有同等的法律效力，经合同双方签署立即生效。</w:t>
      </w:r>
    </w:p>
    <w:p w14:paraId="3DCAFBE6">
      <w:pPr>
        <w:adjustRightInd w:val="0"/>
        <w:snapToGrid w:val="0"/>
        <w:spacing w:line="360" w:lineRule="auto"/>
        <w:ind w:firstLine="411" w:firstLineChars="195"/>
        <w:rPr>
          <w:rFonts w:hint="eastAsia" w:ascii="宋体" w:hAnsi="宋体"/>
          <w:szCs w:val="21"/>
        </w:rPr>
      </w:pPr>
      <w:r>
        <w:rPr>
          <w:rFonts w:hint="eastAsia" w:ascii="宋体" w:hAnsi="宋体"/>
          <w:b/>
          <w:szCs w:val="21"/>
        </w:rPr>
        <w:t>第七条</w:t>
      </w:r>
      <w:r>
        <w:rPr>
          <w:rFonts w:hint="eastAsia" w:ascii="宋体" w:hAnsi="宋体"/>
          <w:szCs w:val="21"/>
        </w:rPr>
        <w:t xml:space="preserve">  本协议一式两份，由甲乙双方各执一份。</w:t>
      </w:r>
    </w:p>
    <w:p w14:paraId="4B93CFAA">
      <w:pPr>
        <w:adjustRightInd w:val="0"/>
        <w:snapToGrid w:val="0"/>
        <w:spacing w:line="360" w:lineRule="auto"/>
        <w:ind w:firstLine="480"/>
        <w:rPr>
          <w:rFonts w:hint="eastAsia" w:ascii="宋体" w:hAnsi="宋体"/>
          <w:szCs w:val="21"/>
        </w:rPr>
      </w:pPr>
    </w:p>
    <w:p w14:paraId="57B40C9B">
      <w:pPr>
        <w:adjustRightInd w:val="0"/>
        <w:snapToGrid w:val="0"/>
        <w:spacing w:line="360" w:lineRule="auto"/>
        <w:ind w:firstLine="480"/>
        <w:rPr>
          <w:rFonts w:hint="eastAsia" w:ascii="宋体" w:hAnsi="宋体"/>
          <w:b/>
          <w:szCs w:val="21"/>
        </w:rPr>
      </w:pPr>
      <w:r>
        <w:rPr>
          <w:rFonts w:ascii="宋体" w:hAnsi="宋体"/>
          <w:b/>
          <w:szCs w:val="21"/>
        </w:rPr>
        <w:t>甲乙双方确认在签订本廉洁协议书前已仔细阅读条款内容，甲乙双方对本廉洁协议书所产生的法律责任已清楚知悉并承诺遵守。</w:t>
      </w:r>
    </w:p>
    <w:p w14:paraId="469AA032">
      <w:pPr>
        <w:adjustRightInd w:val="0"/>
        <w:snapToGrid w:val="0"/>
        <w:spacing w:line="360" w:lineRule="auto"/>
        <w:rPr>
          <w:rFonts w:hint="eastAsia" w:ascii="宋体" w:hAnsi="宋体"/>
          <w:szCs w:val="21"/>
        </w:rPr>
      </w:pPr>
    </w:p>
    <w:p w14:paraId="00C08978">
      <w:pPr>
        <w:adjustRightInd w:val="0"/>
        <w:snapToGrid w:val="0"/>
        <w:spacing w:line="360" w:lineRule="auto"/>
        <w:ind w:left="5563" w:leftChars="-151" w:hanging="5880" w:hangingChars="2800"/>
        <w:rPr>
          <w:rFonts w:hint="eastAsia" w:ascii="宋体" w:hAnsi="宋体"/>
          <w:szCs w:val="21"/>
        </w:rPr>
      </w:pPr>
      <w:r>
        <w:rPr>
          <w:rFonts w:hint="eastAsia" w:ascii="宋体" w:hAnsi="宋体"/>
          <w:szCs w:val="21"/>
        </w:rPr>
        <w:t xml:space="preserve">    甲方（盖章）：                        乙方（盖章）：   </w:t>
      </w:r>
    </w:p>
    <w:p w14:paraId="2B4014EA">
      <w:pPr>
        <w:adjustRightInd w:val="0"/>
        <w:snapToGrid w:val="0"/>
        <w:spacing w:line="360" w:lineRule="auto"/>
        <w:rPr>
          <w:rFonts w:hint="eastAsia" w:ascii="宋体" w:hAnsi="宋体"/>
          <w:szCs w:val="21"/>
        </w:rPr>
      </w:pPr>
      <w:r>
        <w:rPr>
          <w:rFonts w:hint="eastAsia" w:ascii="宋体" w:hAnsi="宋体"/>
          <w:szCs w:val="21"/>
        </w:rPr>
        <w:t xml:space="preserve"> 法定代表人（签字）：                  法定代表人（签字）：</w:t>
      </w:r>
    </w:p>
    <w:p w14:paraId="5CDFB034">
      <w:pPr>
        <w:adjustRightInd w:val="0"/>
        <w:snapToGrid w:val="0"/>
        <w:spacing w:line="360" w:lineRule="auto"/>
        <w:rPr>
          <w:rFonts w:hint="eastAsia" w:ascii="宋体" w:hAnsi="宋体"/>
          <w:szCs w:val="21"/>
        </w:rPr>
      </w:pPr>
      <w:r>
        <w:rPr>
          <w:rFonts w:hint="eastAsia" w:ascii="宋体" w:hAnsi="宋体"/>
          <w:szCs w:val="21"/>
        </w:rPr>
        <w:t>（或）授权代表（签字）：              （或）授权代表（签字）：</w:t>
      </w:r>
    </w:p>
    <w:p w14:paraId="3361A9A4">
      <w:pPr>
        <w:snapToGrid w:val="0"/>
        <w:spacing w:line="360" w:lineRule="auto"/>
        <w:rPr>
          <w:rFonts w:hint="eastAsia" w:ascii="宋体" w:hAnsi="宋体"/>
          <w:szCs w:val="21"/>
        </w:rPr>
      </w:pPr>
      <w:r>
        <w:rPr>
          <w:rFonts w:hint="eastAsia" w:ascii="宋体" w:hAnsi="宋体"/>
          <w:szCs w:val="21"/>
        </w:rPr>
        <w:t xml:space="preserve"> 签订日期：                           签订日期：</w:t>
      </w:r>
    </w:p>
    <w:p w14:paraId="08E30E4C">
      <w:pPr>
        <w:widowControl/>
        <w:snapToGrid w:val="0"/>
        <w:spacing w:line="360" w:lineRule="auto"/>
        <w:jc w:val="left"/>
        <w:rPr>
          <w:rFonts w:hint="eastAsia" w:ascii="宋体" w:hAnsi="宋体"/>
          <w:szCs w:val="21"/>
        </w:rPr>
      </w:pPr>
      <w:r>
        <w:rPr>
          <w:rFonts w:ascii="宋体" w:hAnsi="宋体"/>
          <w:szCs w:val="21"/>
        </w:rPr>
        <w:br w:type="page"/>
      </w:r>
    </w:p>
    <w:p w14:paraId="6E4A43D8">
      <w:pPr>
        <w:pStyle w:val="4"/>
        <w:rPr>
          <w:rFonts w:hint="eastAsia"/>
        </w:rPr>
      </w:pPr>
      <w:r>
        <w:rPr>
          <w:rFonts w:hint="eastAsia"/>
        </w:rPr>
        <w:t>附件</w:t>
      </w:r>
      <w:r>
        <w:t>3</w:t>
      </w:r>
      <w:r>
        <w:rPr>
          <w:rFonts w:hint="eastAsia"/>
        </w:rPr>
        <w:t xml:space="preserve"> 安全责任合同</w:t>
      </w:r>
    </w:p>
    <w:p w14:paraId="47767F79">
      <w:pPr>
        <w:adjustRightInd w:val="0"/>
        <w:snapToGrid w:val="0"/>
        <w:spacing w:line="360" w:lineRule="auto"/>
        <w:ind w:firstLine="281" w:firstLineChars="100"/>
        <w:jc w:val="center"/>
        <w:rPr>
          <w:rFonts w:hint="eastAsia" w:ascii="宋体" w:hAnsi="宋体"/>
          <w:b/>
          <w:sz w:val="28"/>
          <w:szCs w:val="21"/>
        </w:rPr>
      </w:pPr>
      <w:r>
        <w:rPr>
          <w:rFonts w:hint="eastAsia" w:ascii="宋体" w:hAnsi="宋体"/>
          <w:b/>
          <w:sz w:val="28"/>
          <w:szCs w:val="21"/>
        </w:rPr>
        <w:t>安全责任合同</w:t>
      </w:r>
    </w:p>
    <w:p w14:paraId="0F470D70">
      <w:pPr>
        <w:adjustRightInd w:val="0"/>
        <w:snapToGrid w:val="0"/>
        <w:spacing w:line="360" w:lineRule="auto"/>
        <w:rPr>
          <w:rFonts w:hint="eastAsia" w:ascii="宋体" w:hAnsi="宋体"/>
          <w:szCs w:val="21"/>
        </w:rPr>
      </w:pPr>
      <w:r>
        <w:rPr>
          <w:rFonts w:hint="eastAsia" w:ascii="宋体" w:hAnsi="宋体"/>
          <w:szCs w:val="21"/>
        </w:rPr>
        <w:t>甲方：</w:t>
      </w:r>
      <w:r>
        <w:rPr>
          <w:rFonts w:hint="eastAsia" w:ascii="宋体" w:hAnsi="宋体"/>
          <w:szCs w:val="21"/>
          <w:u w:val="single"/>
        </w:rPr>
        <w:t xml:space="preserve">                               </w:t>
      </w:r>
    </w:p>
    <w:p w14:paraId="504A10F2">
      <w:pPr>
        <w:snapToGrid w:val="0"/>
        <w:spacing w:line="360" w:lineRule="auto"/>
        <w:rPr>
          <w:rFonts w:hint="eastAsia" w:ascii="宋体" w:hAnsi="宋体"/>
          <w:szCs w:val="21"/>
        </w:rPr>
      </w:pPr>
      <w:r>
        <w:rPr>
          <w:rFonts w:hint="eastAsia" w:ascii="宋体" w:hAnsi="宋体"/>
          <w:szCs w:val="21"/>
        </w:rPr>
        <w:t>乙方：</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1953A59E">
      <w:pPr>
        <w:snapToGrid w:val="0"/>
        <w:spacing w:line="360" w:lineRule="auto"/>
        <w:ind w:firstLine="567" w:firstLineChars="270"/>
        <w:rPr>
          <w:rFonts w:hint="eastAsia" w:ascii="宋体" w:hAnsi="宋体" w:cs="宋体"/>
          <w:szCs w:val="21"/>
        </w:rPr>
      </w:pPr>
      <w:r>
        <w:rPr>
          <w:rFonts w:hint="eastAsia" w:ascii="宋体" w:hAnsi="宋体" w:cs="宋体"/>
          <w:szCs w:val="21"/>
        </w:rPr>
        <w:t>为了增强甲乙双方的责任感，切实加强项目作业的安全管理，明确项目作业的安全管理责任，维护甲乙双方的利益，落实“各负其责，各施其职”的原则，确保项目作业的安全生产秩序能够顺利进行，根据《中华人民共和国安全生产法》、《中华人民共和国消防法》、《中华人民共和国环境保护法》、《中华人民共和国职业病防治法》、《中华人民共和国劳动法》、《中华人民共和国建筑法》、《中华人民共和国合同法》以及国务院《建设工程安全生产管理条例》、建设部《施工现场临时用电安全技术规范》（</w:t>
      </w:r>
      <w:r>
        <w:rPr>
          <w:rFonts w:ascii="宋体" w:hAnsi="宋体" w:cs="宋体"/>
          <w:szCs w:val="21"/>
        </w:rPr>
        <w:t>JGJ46-2005</w:t>
      </w:r>
      <w:r>
        <w:rPr>
          <w:rFonts w:hint="eastAsia" w:ascii="宋体" w:hAnsi="宋体" w:cs="宋体"/>
          <w:szCs w:val="21"/>
        </w:rPr>
        <w:t>）、《建筑施工安全检查标准》（</w:t>
      </w:r>
      <w:r>
        <w:rPr>
          <w:rFonts w:ascii="宋体" w:hAnsi="宋体" w:cs="宋体"/>
          <w:szCs w:val="21"/>
        </w:rPr>
        <w:t>JGJ59-2011</w:t>
      </w:r>
      <w:r>
        <w:rPr>
          <w:rFonts w:hint="eastAsia" w:ascii="宋体" w:hAnsi="宋体" w:cs="宋体"/>
          <w:szCs w:val="21"/>
        </w:rPr>
        <w:t>）等国家有关法律、法规，经双方充分协商，特订立本安全责任合同，以便共同遵守。</w:t>
      </w:r>
    </w:p>
    <w:p w14:paraId="4909DBCC">
      <w:pPr>
        <w:snapToGrid w:val="0"/>
        <w:spacing w:line="360" w:lineRule="auto"/>
        <w:ind w:firstLine="420" w:firstLineChars="200"/>
        <w:rPr>
          <w:rFonts w:hint="eastAsia" w:ascii="宋体" w:hAnsi="宋体"/>
          <w:szCs w:val="21"/>
        </w:rPr>
      </w:pPr>
      <w:r>
        <w:rPr>
          <w:rFonts w:hint="eastAsia" w:ascii="宋体" w:hAnsi="宋体"/>
          <w:szCs w:val="21"/>
        </w:rPr>
        <w:t>一、本合同为</w:t>
      </w:r>
      <w:r>
        <w:rPr>
          <w:rFonts w:hint="eastAsia" w:ascii="宋体" w:hAnsi="宋体"/>
          <w:szCs w:val="21"/>
          <w:u w:val="single"/>
        </w:rPr>
        <w:t>《 广州工控大湾区现代高端装备研发生产基地项目（三期）办公家具采购项目相关服务合同 》</w:t>
      </w:r>
      <w:r>
        <w:rPr>
          <w:rFonts w:hint="eastAsia" w:ascii="宋体" w:hAnsi="宋体"/>
          <w:szCs w:val="21"/>
        </w:rPr>
        <w:t>项目经济合同的从合同。</w:t>
      </w:r>
    </w:p>
    <w:p w14:paraId="29219951">
      <w:pPr>
        <w:snapToGrid w:val="0"/>
        <w:spacing w:line="360" w:lineRule="auto"/>
        <w:ind w:firstLine="420" w:firstLineChars="200"/>
        <w:rPr>
          <w:rFonts w:hint="eastAsia" w:ascii="宋体" w:hAnsi="宋体"/>
          <w:szCs w:val="21"/>
        </w:rPr>
      </w:pPr>
      <w:r>
        <w:rPr>
          <w:rFonts w:hint="eastAsia" w:ascii="宋体" w:hAnsi="宋体"/>
          <w:szCs w:val="21"/>
        </w:rPr>
        <w:t>二、项目经济合同编号：</w:t>
      </w:r>
      <w:r>
        <w:rPr>
          <w:rFonts w:ascii="宋体" w:hAnsi="宋体"/>
          <w:szCs w:val="21"/>
          <w:u w:val="single"/>
        </w:rPr>
        <w:t xml:space="preserve">              </w:t>
      </w:r>
    </w:p>
    <w:p w14:paraId="018703BE">
      <w:pPr>
        <w:snapToGrid w:val="0"/>
        <w:spacing w:line="360" w:lineRule="auto"/>
        <w:ind w:firstLine="840" w:firstLineChars="400"/>
        <w:rPr>
          <w:rFonts w:hint="eastAsia" w:ascii="宋体" w:hAnsi="宋体"/>
          <w:szCs w:val="21"/>
        </w:rPr>
      </w:pPr>
      <w:r>
        <w:rPr>
          <w:rFonts w:hint="eastAsia" w:ascii="宋体" w:hAnsi="宋体"/>
          <w:szCs w:val="21"/>
        </w:rPr>
        <w:t>项目作业期限：</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日至</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日止。</w:t>
      </w:r>
    </w:p>
    <w:p w14:paraId="7DEC0D98">
      <w:pPr>
        <w:snapToGrid w:val="0"/>
        <w:spacing w:line="360" w:lineRule="auto"/>
        <w:ind w:firstLine="840" w:firstLineChars="400"/>
        <w:rPr>
          <w:rFonts w:hint="eastAsia" w:ascii="宋体" w:hAnsi="宋体"/>
          <w:szCs w:val="21"/>
        </w:rPr>
      </w:pPr>
      <w:r>
        <w:rPr>
          <w:rFonts w:hint="eastAsia" w:ascii="宋体" w:hAnsi="宋体"/>
          <w:szCs w:val="21"/>
        </w:rPr>
        <w:t>作业范围（内容或地点）：</w:t>
      </w:r>
      <w:r>
        <w:rPr>
          <w:rFonts w:hint="eastAsia" w:ascii="宋体" w:hAnsi="宋体"/>
          <w:szCs w:val="21"/>
          <w:u w:val="single"/>
        </w:rPr>
        <w:t xml:space="preserve">        </w:t>
      </w:r>
      <w:r>
        <w:rPr>
          <w:rFonts w:ascii="宋体" w:hAnsi="宋体"/>
          <w:szCs w:val="21"/>
          <w:u w:val="single"/>
        </w:rPr>
        <w:t xml:space="preserve"> </w:t>
      </w:r>
    </w:p>
    <w:p w14:paraId="3D81CABD">
      <w:pPr>
        <w:snapToGrid w:val="0"/>
        <w:spacing w:line="360" w:lineRule="auto"/>
        <w:ind w:firstLine="420" w:firstLineChars="200"/>
        <w:rPr>
          <w:rFonts w:hint="eastAsia" w:ascii="宋体" w:hAnsi="宋体"/>
          <w:szCs w:val="21"/>
        </w:rPr>
      </w:pPr>
      <w:r>
        <w:rPr>
          <w:rFonts w:hint="eastAsia" w:ascii="宋体" w:hAnsi="宋体"/>
          <w:szCs w:val="21"/>
        </w:rPr>
        <w:t>三、合同签订前乙方必须向甲方提供有效的法人资格和符合国家法律规定或行业标准的安全资质等相关证书。</w:t>
      </w:r>
    </w:p>
    <w:p w14:paraId="1FD00703">
      <w:pPr>
        <w:snapToGrid w:val="0"/>
        <w:spacing w:line="360" w:lineRule="auto"/>
        <w:ind w:firstLine="420" w:firstLineChars="200"/>
        <w:rPr>
          <w:rFonts w:hint="eastAsia" w:ascii="宋体" w:hAnsi="宋体"/>
          <w:szCs w:val="21"/>
        </w:rPr>
      </w:pPr>
      <w:r>
        <w:rPr>
          <w:rFonts w:hint="eastAsia" w:ascii="宋体" w:hAnsi="宋体"/>
          <w:szCs w:val="21"/>
        </w:rPr>
        <w:t>四、乙方委派的参加实施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人员，经过专业培训，获得相应专业特种资格证后，方准持证上岗。严禁委派未经专门培训、没有取得特种资格证的人员从事特种作业。实施现场如出现特种作业无证操作现象时，必须立即停止作业。乙方如使用特种设备，必须具有有效的准用证件才能实施。</w:t>
      </w:r>
    </w:p>
    <w:p w14:paraId="701FA5CC">
      <w:pPr>
        <w:snapToGrid w:val="0"/>
        <w:spacing w:line="360" w:lineRule="auto"/>
        <w:ind w:firstLine="420" w:firstLineChars="200"/>
        <w:rPr>
          <w:rFonts w:hint="eastAsia" w:ascii="宋体" w:hAnsi="宋体"/>
          <w:szCs w:val="21"/>
        </w:rPr>
      </w:pPr>
      <w:r>
        <w:rPr>
          <w:rFonts w:hint="eastAsia" w:ascii="宋体" w:hAnsi="宋体"/>
          <w:szCs w:val="21"/>
        </w:rPr>
        <w:t>五、甲方承诺把项目发包给乙方作业，明确款项、质量、期限的同时，乙方承诺对本单位聘用的作业人员在作业过程中的安全负全部责任。该责任既包括对员工的安全教育管理，也包括对安全事故的处理赔偿。</w:t>
      </w:r>
    </w:p>
    <w:p w14:paraId="55076025">
      <w:pPr>
        <w:snapToGrid w:val="0"/>
        <w:spacing w:line="360" w:lineRule="auto"/>
        <w:ind w:firstLine="420" w:firstLineChars="200"/>
        <w:rPr>
          <w:rFonts w:hint="eastAsia" w:ascii="宋体" w:hAnsi="宋体"/>
          <w:szCs w:val="21"/>
        </w:rPr>
      </w:pPr>
      <w:r>
        <w:rPr>
          <w:rFonts w:hint="eastAsia" w:ascii="宋体" w:hAnsi="宋体"/>
          <w:szCs w:val="21"/>
        </w:rPr>
        <w:t>六、乙方作业人员的工资、劳动保护用品、社会工伤保险等由乙方支付和购买。如乙方违反本条规定，甲方有权暂扣相应的合同款项作为乙方履约保证金。</w:t>
      </w:r>
    </w:p>
    <w:p w14:paraId="15BE35E8">
      <w:pPr>
        <w:snapToGrid w:val="0"/>
        <w:spacing w:line="360" w:lineRule="auto"/>
        <w:ind w:firstLine="420" w:firstLineChars="200"/>
        <w:rPr>
          <w:rFonts w:hint="eastAsia" w:ascii="宋体" w:hAnsi="宋体"/>
          <w:szCs w:val="21"/>
        </w:rPr>
      </w:pPr>
      <w:r>
        <w:rPr>
          <w:rFonts w:hint="eastAsia" w:ascii="宋体" w:hAnsi="宋体"/>
          <w:szCs w:val="21"/>
        </w:rPr>
        <w:t>七、乙方必须设立项目安全负责人，指定专人负责日常安全管理工作，监管作业安全。涉及到乙方对项目的日常管理不到位或违章作业行为，甲方有权依照有关安全生产法规和甲方的“安全规章制度”作出警告和处罚，严重的作出停工整顿处理直至验收合格为止，因此造成的一切损失由乙方负责。</w:t>
      </w:r>
    </w:p>
    <w:p w14:paraId="7456172B">
      <w:pPr>
        <w:snapToGrid w:val="0"/>
        <w:spacing w:line="360" w:lineRule="auto"/>
        <w:ind w:firstLine="420" w:firstLineChars="200"/>
        <w:rPr>
          <w:rFonts w:hint="eastAsia" w:ascii="宋体" w:hAnsi="宋体"/>
          <w:szCs w:val="21"/>
        </w:rPr>
      </w:pPr>
      <w:r>
        <w:rPr>
          <w:rFonts w:hint="eastAsia" w:ascii="宋体" w:hAnsi="宋体"/>
          <w:szCs w:val="21"/>
        </w:rPr>
        <w:t>八、在项目实施过程中，因乙方安全管理不善或者乙方实施人员违章实施、故意或重大过失造成人员伤亡的，由乙方承担赔偿责任。若甲方先行垫付的，有权向乙方全额追偿。由于第三人导致乙方人员伤亡的，由第三人承担赔偿责任，甲方不承担责任。</w:t>
      </w:r>
    </w:p>
    <w:p w14:paraId="0E1710F2">
      <w:pPr>
        <w:snapToGrid w:val="0"/>
        <w:spacing w:line="360" w:lineRule="auto"/>
        <w:ind w:firstLine="420" w:firstLineChars="200"/>
        <w:rPr>
          <w:rFonts w:hint="eastAsia" w:ascii="宋体" w:hAnsi="宋体"/>
          <w:szCs w:val="21"/>
        </w:rPr>
      </w:pPr>
      <w:r>
        <w:rPr>
          <w:rFonts w:hint="eastAsia" w:ascii="宋体" w:hAnsi="宋体"/>
          <w:szCs w:val="21"/>
        </w:rPr>
        <w:t>九、乙方作业人员在项目作业过程中，若发生伤亡事故，必须及时知会甲方，并按《生产安全事故报告和调查处理条例》（国务院令第</w:t>
      </w:r>
      <w:r>
        <w:rPr>
          <w:rFonts w:ascii="宋体" w:hAnsi="宋体"/>
          <w:szCs w:val="21"/>
        </w:rPr>
        <w:t>493</w:t>
      </w:r>
      <w:r>
        <w:rPr>
          <w:rFonts w:hint="eastAsia" w:ascii="宋体" w:hAnsi="宋体"/>
          <w:szCs w:val="21"/>
        </w:rPr>
        <w:t>号）的程序向属地安监主管部门报告，还应立即通知当地政府、公安部门、人民检察院，并要求派人保护现场。</w:t>
      </w:r>
    </w:p>
    <w:p w14:paraId="583EDEC6">
      <w:pPr>
        <w:snapToGrid w:val="0"/>
        <w:spacing w:line="360" w:lineRule="auto"/>
        <w:ind w:firstLine="420" w:firstLineChars="200"/>
        <w:rPr>
          <w:rFonts w:hint="eastAsia" w:ascii="宋体" w:hAnsi="宋体"/>
          <w:szCs w:val="21"/>
        </w:rPr>
      </w:pPr>
      <w:r>
        <w:rPr>
          <w:rFonts w:hint="eastAsia" w:ascii="宋体" w:hAnsi="宋体"/>
          <w:szCs w:val="21"/>
        </w:rPr>
        <w:t>十、甲方安全职责</w:t>
      </w:r>
    </w:p>
    <w:p w14:paraId="540F1C4C">
      <w:pPr>
        <w:snapToGrid w:val="0"/>
        <w:spacing w:line="360" w:lineRule="auto"/>
        <w:ind w:firstLine="420" w:firstLineChars="200"/>
        <w:rPr>
          <w:rFonts w:hint="eastAsia" w:ascii="宋体" w:hAnsi="宋体"/>
          <w:szCs w:val="21"/>
        </w:rPr>
      </w:pPr>
      <w:r>
        <w:rPr>
          <w:rFonts w:hint="eastAsia" w:ascii="宋体" w:hAnsi="宋体"/>
          <w:szCs w:val="21"/>
        </w:rPr>
        <w:t>（一）进场作业前需向乙方项目责任人进行项目安全注意事项书面交底，提出安全管理书面要求，甲方的“安全规章制度”及与该项目有关联的安全注意事项，并应有完备的交底资料记录，双方负责人共同签字确认。</w:t>
      </w:r>
    </w:p>
    <w:p w14:paraId="274FE797">
      <w:pPr>
        <w:snapToGrid w:val="0"/>
        <w:spacing w:line="360" w:lineRule="auto"/>
        <w:ind w:firstLine="420" w:firstLineChars="200"/>
        <w:rPr>
          <w:rFonts w:hint="eastAsia" w:ascii="宋体" w:hAnsi="宋体"/>
          <w:szCs w:val="21"/>
        </w:rPr>
      </w:pPr>
      <w:r>
        <w:rPr>
          <w:rFonts w:hint="eastAsia" w:ascii="宋体" w:hAnsi="宋体"/>
          <w:szCs w:val="21"/>
        </w:rPr>
        <w:t>（二）指定专人负责监管该项目的安全工作，并配合乙方解决因甲方因素而影响安全实施的问题。</w:t>
      </w:r>
    </w:p>
    <w:p w14:paraId="07DB85B6">
      <w:pPr>
        <w:snapToGrid w:val="0"/>
        <w:spacing w:line="360" w:lineRule="auto"/>
        <w:ind w:firstLine="420" w:firstLineChars="200"/>
        <w:rPr>
          <w:rFonts w:hint="eastAsia" w:ascii="宋体" w:hAnsi="宋体"/>
          <w:szCs w:val="21"/>
        </w:rPr>
      </w:pPr>
      <w:r>
        <w:rPr>
          <w:rFonts w:hint="eastAsia" w:ascii="宋体" w:hAnsi="宋体"/>
          <w:szCs w:val="21"/>
        </w:rPr>
        <w:t>（三）为乙方提供符合安全的作业环境，提供作业方便，并配合乙方解决因甲方因素而影响安全作业的问题。</w:t>
      </w:r>
    </w:p>
    <w:p w14:paraId="23200D59">
      <w:pPr>
        <w:snapToGrid w:val="0"/>
        <w:spacing w:line="360" w:lineRule="auto"/>
        <w:ind w:firstLine="420" w:firstLineChars="200"/>
        <w:rPr>
          <w:rFonts w:hint="eastAsia" w:ascii="宋体" w:hAnsi="宋体"/>
          <w:szCs w:val="21"/>
        </w:rPr>
      </w:pPr>
      <w:r>
        <w:rPr>
          <w:rFonts w:hint="eastAsia" w:ascii="宋体" w:hAnsi="宋体"/>
          <w:szCs w:val="21"/>
        </w:rPr>
        <w:t>（四）在有毒有害、易燃易爆、带电运行、机械转动及危化区域内实施时，甲方应当协助乙方制定安全措施并监督实施。</w:t>
      </w:r>
    </w:p>
    <w:p w14:paraId="035CD959">
      <w:pPr>
        <w:snapToGrid w:val="0"/>
        <w:spacing w:line="360" w:lineRule="auto"/>
        <w:ind w:firstLine="420" w:firstLineChars="200"/>
        <w:rPr>
          <w:rFonts w:hint="eastAsia" w:ascii="宋体" w:hAnsi="宋体"/>
          <w:szCs w:val="21"/>
        </w:rPr>
      </w:pPr>
      <w:r>
        <w:rPr>
          <w:rFonts w:hint="eastAsia" w:ascii="宋体" w:hAnsi="宋体"/>
          <w:szCs w:val="21"/>
        </w:rPr>
        <w:t>（五）监督检查乙方的安全实施作业情况，对违法乱纪现象按甲方单位安全检查考核细则规定进行违规执罚。因乙方严重违规实施作业而影响甲方正常生产时，有权停止其实施作业至整改验收合格为止。</w:t>
      </w:r>
    </w:p>
    <w:p w14:paraId="0438AFA0">
      <w:pPr>
        <w:snapToGrid w:val="0"/>
        <w:spacing w:line="360" w:lineRule="auto"/>
        <w:ind w:firstLine="420" w:firstLineChars="200"/>
        <w:rPr>
          <w:rFonts w:hint="eastAsia" w:ascii="宋体" w:hAnsi="宋体"/>
          <w:szCs w:val="21"/>
        </w:rPr>
      </w:pPr>
      <w:r>
        <w:rPr>
          <w:rFonts w:hint="eastAsia" w:ascii="宋体" w:hAnsi="宋体"/>
          <w:szCs w:val="21"/>
        </w:rPr>
        <w:t>十一、乙方安全职责</w:t>
      </w:r>
    </w:p>
    <w:p w14:paraId="33A92DE2">
      <w:pPr>
        <w:snapToGrid w:val="0"/>
        <w:spacing w:line="360" w:lineRule="auto"/>
        <w:ind w:firstLine="420" w:firstLineChars="200"/>
        <w:rPr>
          <w:rFonts w:hint="eastAsia" w:ascii="宋体" w:hAnsi="宋体"/>
          <w:szCs w:val="21"/>
        </w:rPr>
      </w:pPr>
      <w:r>
        <w:rPr>
          <w:rFonts w:hint="eastAsia" w:ascii="宋体" w:hAnsi="宋体"/>
          <w:szCs w:val="21"/>
        </w:rPr>
        <w:t>（一）建立、健全自身劳动安全卫生制度，严格执行国家劳动安全卫生规程和标准，落实对每个作业人员进行劳动安全卫生、实施安全注意事项等方面的安全教育，并经其本人签名确认后才允许上岗。</w:t>
      </w:r>
    </w:p>
    <w:p w14:paraId="1B93BE53">
      <w:pPr>
        <w:snapToGrid w:val="0"/>
        <w:spacing w:line="360" w:lineRule="auto"/>
        <w:ind w:firstLine="420" w:firstLineChars="200"/>
        <w:rPr>
          <w:rFonts w:hint="eastAsia" w:ascii="宋体" w:hAnsi="宋体"/>
          <w:szCs w:val="21"/>
        </w:rPr>
      </w:pPr>
      <w:r>
        <w:rPr>
          <w:rFonts w:hint="eastAsia" w:ascii="宋体" w:hAnsi="宋体"/>
          <w:szCs w:val="21"/>
        </w:rPr>
        <w:t>（二）为作业人员提供符合国家规定的劳动安全卫生条件和必要劳动保护用品。</w:t>
      </w:r>
    </w:p>
    <w:p w14:paraId="05E7D128">
      <w:pPr>
        <w:snapToGrid w:val="0"/>
        <w:spacing w:line="360" w:lineRule="auto"/>
        <w:ind w:firstLine="420" w:firstLineChars="200"/>
        <w:rPr>
          <w:rFonts w:hint="eastAsia" w:ascii="宋体" w:hAnsi="宋体"/>
          <w:szCs w:val="21"/>
        </w:rPr>
      </w:pPr>
      <w:r>
        <w:rPr>
          <w:rFonts w:hint="eastAsia" w:ascii="宋体" w:hAnsi="宋体"/>
          <w:szCs w:val="21"/>
        </w:rPr>
        <w:t>（三）严格遵守安全生产规章制度，自觉接受甲方单位的安全监督、管理和指导，做好安全、文明实施作业。</w:t>
      </w:r>
    </w:p>
    <w:p w14:paraId="75A2BC86">
      <w:pPr>
        <w:snapToGrid w:val="0"/>
        <w:spacing w:line="360" w:lineRule="auto"/>
        <w:ind w:firstLine="420" w:firstLineChars="200"/>
        <w:rPr>
          <w:rFonts w:hint="eastAsia" w:ascii="宋体" w:hAnsi="宋体"/>
          <w:szCs w:val="21"/>
        </w:rPr>
      </w:pPr>
      <w:r>
        <w:rPr>
          <w:rFonts w:hint="eastAsia" w:ascii="宋体" w:hAnsi="宋体"/>
          <w:szCs w:val="21"/>
        </w:rPr>
        <w:t>（四）制定作业安全措施，并严格落实执行，在确保作业人员安全与健康的前提下才可组织实施。需要使用甲方的水、电、气等设备设施，必须经甲方同意，并对设备设施的使用过程承担安全责任。</w:t>
      </w:r>
    </w:p>
    <w:p w14:paraId="0A2DFBB1">
      <w:pPr>
        <w:snapToGrid w:val="0"/>
        <w:spacing w:line="360" w:lineRule="auto"/>
        <w:ind w:firstLine="420" w:firstLineChars="200"/>
        <w:rPr>
          <w:rFonts w:hint="eastAsia" w:ascii="宋体" w:hAnsi="宋体"/>
          <w:szCs w:val="21"/>
        </w:rPr>
      </w:pPr>
      <w:r>
        <w:rPr>
          <w:rFonts w:hint="eastAsia" w:ascii="宋体" w:hAnsi="宋体"/>
          <w:szCs w:val="21"/>
        </w:rPr>
        <w:t>（五）教育和监管所属作业人员在未经甲方同意的情况下，严禁随意进入与作业无关的区域，严禁触摸、启动与作业无关的设备设施，否则由此引起的事故由乙方负责全部责任。</w:t>
      </w:r>
    </w:p>
    <w:p w14:paraId="6DA0A48B">
      <w:pPr>
        <w:snapToGrid w:val="0"/>
        <w:spacing w:line="360" w:lineRule="auto"/>
        <w:ind w:firstLine="420" w:firstLineChars="200"/>
        <w:rPr>
          <w:rFonts w:hint="eastAsia" w:ascii="宋体" w:hAnsi="宋体"/>
          <w:szCs w:val="21"/>
        </w:rPr>
      </w:pPr>
      <w:r>
        <w:rPr>
          <w:rFonts w:hint="eastAsia" w:ascii="宋体" w:hAnsi="宋体"/>
          <w:szCs w:val="21"/>
        </w:rPr>
        <w:t>（六）因乙方原因造成安全责任事故的，乙方除自行承担相应的安全赔偿责任外，对甲方遭受的损失，乙方应当全部赔偿。如造成工期延误的，仍需承担违约责任。</w:t>
      </w:r>
    </w:p>
    <w:p w14:paraId="4C37FCD0">
      <w:pPr>
        <w:snapToGrid w:val="0"/>
        <w:spacing w:line="360" w:lineRule="auto"/>
        <w:ind w:firstLine="420" w:firstLineChars="200"/>
        <w:rPr>
          <w:rFonts w:hint="eastAsia" w:ascii="宋体" w:hAnsi="宋体"/>
          <w:szCs w:val="21"/>
        </w:rPr>
      </w:pPr>
      <w:r>
        <w:rPr>
          <w:rFonts w:hint="eastAsia" w:ascii="宋体" w:hAnsi="宋体"/>
          <w:szCs w:val="21"/>
        </w:rPr>
        <w:t>（七）在实施前，乙方应向甲方提供实施现场《生产安全事故应急救援预案》，向甲方提供特种作业人员花名册、操作证复印件和培训记录。</w:t>
      </w:r>
    </w:p>
    <w:p w14:paraId="2E34EB14">
      <w:pPr>
        <w:snapToGrid w:val="0"/>
        <w:spacing w:line="360" w:lineRule="auto"/>
        <w:ind w:firstLine="420" w:firstLineChars="200"/>
        <w:rPr>
          <w:rFonts w:hint="eastAsia" w:ascii="宋体" w:hAnsi="宋体"/>
          <w:szCs w:val="21"/>
        </w:rPr>
      </w:pPr>
      <w:r>
        <w:rPr>
          <w:rFonts w:hint="eastAsia" w:ascii="宋体" w:hAnsi="宋体"/>
          <w:szCs w:val="21"/>
        </w:rPr>
        <w:t>十二、实施安全保证金</w:t>
      </w:r>
    </w:p>
    <w:p w14:paraId="14D02CBC">
      <w:pPr>
        <w:snapToGrid w:val="0"/>
        <w:spacing w:line="360" w:lineRule="auto"/>
        <w:ind w:firstLine="420" w:firstLineChars="200"/>
        <w:rPr>
          <w:rFonts w:hint="eastAsia" w:ascii="宋体" w:hAnsi="宋体"/>
          <w:szCs w:val="21"/>
        </w:rPr>
      </w:pPr>
      <w:r>
        <w:rPr>
          <w:rFonts w:hint="eastAsia" w:ascii="宋体" w:hAnsi="宋体"/>
          <w:szCs w:val="21"/>
        </w:rPr>
        <w:t>甲方预留合同结算价</w:t>
      </w:r>
      <w:r>
        <w:rPr>
          <w:rFonts w:hint="eastAsia" w:ascii="宋体" w:hAnsi="宋体" w:cs="宋体"/>
          <w:kern w:val="0"/>
          <w:szCs w:val="21"/>
        </w:rPr>
        <w:t>的5%</w:t>
      </w:r>
      <w:r>
        <w:rPr>
          <w:rFonts w:ascii="宋体" w:hAnsi="宋体"/>
          <w:szCs w:val="21"/>
        </w:rPr>
        <w:t>作为乙方的安全保证金，于项目验收后将该保证金余额退还乙方；若实施过程中发生下列有乙方责任的安全事故，扣除相应数额的安全保证金归甲方：</w:t>
      </w:r>
    </w:p>
    <w:p w14:paraId="7F03E6C0">
      <w:pPr>
        <w:snapToGrid w:val="0"/>
        <w:spacing w:line="360" w:lineRule="auto"/>
        <w:ind w:firstLine="420" w:firstLineChars="200"/>
        <w:rPr>
          <w:rFonts w:hint="eastAsia" w:ascii="宋体" w:hAnsi="宋体"/>
          <w:szCs w:val="21"/>
        </w:rPr>
      </w:pPr>
      <w:r>
        <w:rPr>
          <w:rFonts w:ascii="宋体" w:hAnsi="宋体"/>
          <w:szCs w:val="21"/>
        </w:rPr>
        <w:t>1、发生人身死亡事故、设备重大事故，扣除</w:t>
      </w:r>
      <w:r>
        <w:rPr>
          <w:rFonts w:hint="eastAsia" w:ascii="宋体" w:hAnsi="宋体"/>
          <w:szCs w:val="21"/>
        </w:rPr>
        <w:t>100%</w:t>
      </w:r>
      <w:r>
        <w:rPr>
          <w:rFonts w:ascii="宋体" w:hAnsi="宋体"/>
          <w:szCs w:val="21"/>
        </w:rPr>
        <w:t>安全保证金；</w:t>
      </w:r>
    </w:p>
    <w:p w14:paraId="050F3914">
      <w:pPr>
        <w:snapToGrid w:val="0"/>
        <w:spacing w:line="360" w:lineRule="auto"/>
        <w:ind w:firstLine="420" w:firstLineChars="200"/>
        <w:rPr>
          <w:rFonts w:hint="eastAsia" w:ascii="宋体" w:hAnsi="宋体"/>
          <w:szCs w:val="21"/>
        </w:rPr>
      </w:pPr>
      <w:r>
        <w:rPr>
          <w:rFonts w:ascii="宋体" w:hAnsi="宋体"/>
          <w:szCs w:val="21"/>
        </w:rPr>
        <w:t>2、发生人身重伤事故、设备事故，扣除</w:t>
      </w:r>
      <w:r>
        <w:rPr>
          <w:rFonts w:hint="eastAsia" w:ascii="宋体" w:hAnsi="宋体"/>
          <w:szCs w:val="21"/>
        </w:rPr>
        <w:t xml:space="preserve"> </w:t>
      </w:r>
      <w:r>
        <w:rPr>
          <w:rFonts w:ascii="宋体" w:hAnsi="宋体"/>
          <w:szCs w:val="21"/>
        </w:rPr>
        <w:t>100</w:t>
      </w:r>
      <w:r>
        <w:rPr>
          <w:rFonts w:hint="eastAsia" w:ascii="宋体" w:hAnsi="宋体"/>
          <w:szCs w:val="21"/>
        </w:rPr>
        <w:t xml:space="preserve"> </w:t>
      </w:r>
      <w:r>
        <w:rPr>
          <w:rFonts w:ascii="宋体" w:hAnsi="宋体"/>
          <w:szCs w:val="21"/>
        </w:rPr>
        <w:t>%安全保证金。</w:t>
      </w:r>
    </w:p>
    <w:p w14:paraId="6DA51A6A">
      <w:pPr>
        <w:snapToGrid w:val="0"/>
        <w:spacing w:line="360" w:lineRule="auto"/>
        <w:ind w:firstLine="420" w:firstLineChars="200"/>
        <w:rPr>
          <w:rFonts w:hint="eastAsia" w:ascii="宋体" w:hAnsi="宋体"/>
          <w:szCs w:val="21"/>
        </w:rPr>
      </w:pPr>
      <w:r>
        <w:rPr>
          <w:rFonts w:hint="eastAsia" w:ascii="宋体" w:hAnsi="宋体"/>
          <w:szCs w:val="21"/>
        </w:rPr>
        <w:t>十三、违约责任</w:t>
      </w:r>
    </w:p>
    <w:p w14:paraId="182C6363">
      <w:pPr>
        <w:snapToGrid w:val="0"/>
        <w:spacing w:line="360" w:lineRule="auto"/>
        <w:ind w:firstLine="420" w:firstLineChars="200"/>
        <w:rPr>
          <w:rFonts w:hint="eastAsia" w:ascii="宋体" w:hAnsi="宋体"/>
          <w:szCs w:val="21"/>
        </w:rPr>
      </w:pPr>
      <w:r>
        <w:rPr>
          <w:rFonts w:ascii="宋体" w:hAnsi="宋体"/>
          <w:szCs w:val="21"/>
        </w:rPr>
        <w:t>1</w:t>
      </w:r>
      <w:r>
        <w:rPr>
          <w:rFonts w:hint="eastAsia" w:ascii="宋体" w:hAnsi="宋体"/>
          <w:szCs w:val="21"/>
        </w:rPr>
        <w:t>、由于甲方或乙方责任造成对方或第三方的人身伤害、设备损坏等财产损失，由责任方承担相应责任，并赔偿对方或第三方因此造成的全部损失。</w:t>
      </w:r>
    </w:p>
    <w:p w14:paraId="620A1944">
      <w:pPr>
        <w:snapToGrid w:val="0"/>
        <w:spacing w:line="360" w:lineRule="auto"/>
        <w:ind w:firstLine="420" w:firstLineChars="200"/>
        <w:rPr>
          <w:rFonts w:hint="eastAsia" w:ascii="宋体" w:hAnsi="宋体"/>
          <w:szCs w:val="21"/>
        </w:rPr>
      </w:pPr>
      <w:r>
        <w:rPr>
          <w:rFonts w:ascii="宋体" w:hAnsi="宋体"/>
          <w:szCs w:val="21"/>
        </w:rPr>
        <w:t>2</w:t>
      </w:r>
      <w:r>
        <w:rPr>
          <w:rFonts w:hint="eastAsia" w:ascii="宋体" w:hAnsi="宋体"/>
          <w:szCs w:val="21"/>
        </w:rPr>
        <w:t>、合同履行中，发现乙方提供的有关资质证书材料无效，甲方有权解除主合同和本从合同，乙方应当承担由此造成的一切损失。</w:t>
      </w:r>
    </w:p>
    <w:p w14:paraId="2533BB34">
      <w:pPr>
        <w:snapToGrid w:val="0"/>
        <w:spacing w:line="360" w:lineRule="auto"/>
        <w:ind w:firstLine="420" w:firstLineChars="200"/>
        <w:rPr>
          <w:rFonts w:hint="eastAsia" w:ascii="宋体" w:hAnsi="宋体"/>
          <w:szCs w:val="21"/>
        </w:rPr>
      </w:pPr>
      <w:r>
        <w:rPr>
          <w:rFonts w:ascii="宋体" w:hAnsi="宋体"/>
          <w:szCs w:val="21"/>
        </w:rPr>
        <w:t>3</w:t>
      </w:r>
      <w:r>
        <w:rPr>
          <w:rFonts w:hint="eastAsia" w:ascii="宋体" w:hAnsi="宋体"/>
          <w:szCs w:val="21"/>
        </w:rPr>
        <w:t>、发现乙方现场作业人员有违章行为的，甲方有权参照甲方对本单位员工有关安全生产奖惩规定对违规操作行为进行扣款，乙方应当承担罚款或相应的违约金。</w:t>
      </w:r>
    </w:p>
    <w:p w14:paraId="2E4D6B1C">
      <w:pPr>
        <w:snapToGrid w:val="0"/>
        <w:spacing w:line="360" w:lineRule="auto"/>
        <w:ind w:firstLine="420" w:firstLineChars="200"/>
        <w:rPr>
          <w:rFonts w:hint="eastAsia" w:ascii="宋体" w:hAnsi="宋体"/>
          <w:szCs w:val="21"/>
        </w:rPr>
      </w:pPr>
      <w:r>
        <w:rPr>
          <w:rFonts w:ascii="宋体" w:hAnsi="宋体"/>
          <w:szCs w:val="21"/>
        </w:rPr>
        <w:t>4</w:t>
      </w:r>
      <w:r>
        <w:rPr>
          <w:rFonts w:hint="eastAsia" w:ascii="宋体" w:hAnsi="宋体"/>
          <w:szCs w:val="21"/>
        </w:rPr>
        <w:t>、乙方未设置安监人员，未能正确、全面执行安全技术措施、实施组织设计；实施人员未掌握本项目特点及实施安全措施；用于本项目项目的实施机械、工器具及安全防护用品不满足实施需要，甲方有权要求乙方立即停工整改，由此引起的后果及损失由乙方自行承担。</w:t>
      </w:r>
    </w:p>
    <w:p w14:paraId="47828AD8">
      <w:pPr>
        <w:snapToGrid w:val="0"/>
        <w:spacing w:line="360" w:lineRule="auto"/>
        <w:ind w:firstLine="420" w:firstLineChars="200"/>
        <w:rPr>
          <w:rFonts w:hint="eastAsia" w:ascii="宋体" w:hAnsi="宋体"/>
          <w:szCs w:val="21"/>
        </w:rPr>
      </w:pPr>
      <w:r>
        <w:rPr>
          <w:rFonts w:ascii="宋体" w:hAnsi="宋体"/>
          <w:szCs w:val="21"/>
        </w:rPr>
        <w:t>5</w:t>
      </w:r>
      <w:r>
        <w:rPr>
          <w:rFonts w:hint="eastAsia" w:ascii="宋体" w:hAnsi="宋体"/>
          <w:szCs w:val="21"/>
        </w:rPr>
        <w:t>、乙方人员安全工作规程抽考不合格，乙方应承担</w:t>
      </w:r>
      <w:r>
        <w:rPr>
          <w:rFonts w:ascii="宋体" w:hAnsi="宋体"/>
          <w:szCs w:val="21"/>
        </w:rPr>
        <w:t>50</w:t>
      </w:r>
      <w:r>
        <w:rPr>
          <w:rFonts w:hint="eastAsia" w:ascii="宋体" w:hAnsi="宋体"/>
          <w:szCs w:val="21"/>
        </w:rPr>
        <w:t>元</w:t>
      </w:r>
      <w:r>
        <w:rPr>
          <w:rFonts w:ascii="宋体" w:hAnsi="宋体"/>
          <w:szCs w:val="21"/>
        </w:rPr>
        <w:t>/</w:t>
      </w:r>
      <w:r>
        <w:rPr>
          <w:rFonts w:hint="eastAsia" w:ascii="宋体" w:hAnsi="宋体"/>
          <w:szCs w:val="21"/>
        </w:rPr>
        <w:t>人次的违约责任；特种人员无证上岗乙方应承担</w:t>
      </w:r>
      <w:r>
        <w:rPr>
          <w:rFonts w:ascii="宋体" w:hAnsi="宋体"/>
          <w:szCs w:val="21"/>
        </w:rPr>
        <w:t>100</w:t>
      </w:r>
      <w:r>
        <w:rPr>
          <w:rFonts w:hint="eastAsia" w:ascii="宋体" w:hAnsi="宋体"/>
          <w:szCs w:val="21"/>
        </w:rPr>
        <w:t>元</w:t>
      </w:r>
      <w:r>
        <w:rPr>
          <w:rFonts w:ascii="宋体" w:hAnsi="宋体"/>
          <w:szCs w:val="21"/>
        </w:rPr>
        <w:t>/</w:t>
      </w:r>
      <w:r>
        <w:rPr>
          <w:rFonts w:hint="eastAsia" w:ascii="宋体" w:hAnsi="宋体"/>
          <w:szCs w:val="21"/>
        </w:rPr>
        <w:t>人日的违约责任。</w:t>
      </w:r>
    </w:p>
    <w:p w14:paraId="4A5E4C8C">
      <w:pPr>
        <w:snapToGrid w:val="0"/>
        <w:spacing w:line="360" w:lineRule="auto"/>
        <w:ind w:firstLine="420" w:firstLineChars="200"/>
        <w:rPr>
          <w:rFonts w:hint="eastAsia" w:ascii="宋体" w:hAnsi="宋体"/>
          <w:szCs w:val="21"/>
        </w:rPr>
      </w:pPr>
      <w:r>
        <w:rPr>
          <w:rFonts w:ascii="宋体" w:hAnsi="宋体"/>
          <w:szCs w:val="21"/>
        </w:rPr>
        <w:t>6</w:t>
      </w:r>
      <w:r>
        <w:rPr>
          <w:rFonts w:hint="eastAsia" w:ascii="宋体" w:hAnsi="宋体"/>
          <w:szCs w:val="21"/>
        </w:rPr>
        <w:t>、乙方使用甲方提供的设施设备、工器具等造成损坏的，应根据损坏的程度，进行修理、更换、折算市场价赔偿，如修理后造成设备、工器具贬值的应当另行赔偿损失。</w:t>
      </w:r>
    </w:p>
    <w:p w14:paraId="3B865B3D">
      <w:pPr>
        <w:snapToGrid w:val="0"/>
        <w:spacing w:line="360" w:lineRule="auto"/>
        <w:ind w:firstLine="420" w:firstLineChars="200"/>
        <w:rPr>
          <w:rFonts w:hint="eastAsia" w:ascii="宋体" w:hAnsi="宋体"/>
          <w:szCs w:val="21"/>
        </w:rPr>
      </w:pPr>
      <w:r>
        <w:rPr>
          <w:rFonts w:ascii="宋体" w:hAnsi="宋体"/>
          <w:szCs w:val="21"/>
        </w:rPr>
        <w:t>7</w:t>
      </w:r>
      <w:r>
        <w:rPr>
          <w:rFonts w:hint="eastAsia" w:ascii="宋体" w:hAnsi="宋体"/>
          <w:szCs w:val="21"/>
        </w:rPr>
        <w:t>、乙方人员擅自动用甲方的设施设备等，乙方按</w:t>
      </w:r>
      <w:r>
        <w:rPr>
          <w:rFonts w:ascii="宋体" w:hAnsi="宋体"/>
          <w:szCs w:val="21"/>
        </w:rPr>
        <w:t>100</w:t>
      </w:r>
      <w:r>
        <w:rPr>
          <w:rFonts w:hint="eastAsia" w:ascii="宋体" w:hAnsi="宋体"/>
          <w:szCs w:val="21"/>
        </w:rPr>
        <w:t>元至</w:t>
      </w:r>
      <w:r>
        <w:rPr>
          <w:rFonts w:ascii="宋体" w:hAnsi="宋体"/>
          <w:szCs w:val="21"/>
        </w:rPr>
        <w:t>500</w:t>
      </w:r>
      <w:r>
        <w:rPr>
          <w:rFonts w:hint="eastAsia" w:ascii="宋体" w:hAnsi="宋体"/>
          <w:szCs w:val="21"/>
        </w:rPr>
        <w:t>元</w:t>
      </w:r>
      <w:r>
        <w:rPr>
          <w:rFonts w:ascii="宋体" w:hAnsi="宋体"/>
          <w:szCs w:val="21"/>
        </w:rPr>
        <w:t>/</w:t>
      </w:r>
      <w:r>
        <w:rPr>
          <w:rFonts w:hint="eastAsia" w:ascii="宋体" w:hAnsi="宋体"/>
          <w:szCs w:val="21"/>
        </w:rPr>
        <w:t>人次承担扣款违约责任。</w:t>
      </w:r>
    </w:p>
    <w:p w14:paraId="703B0979">
      <w:pPr>
        <w:snapToGrid w:val="0"/>
        <w:spacing w:line="360" w:lineRule="auto"/>
        <w:ind w:firstLine="420" w:firstLineChars="200"/>
        <w:rPr>
          <w:rFonts w:hint="eastAsia" w:ascii="宋体" w:hAnsi="宋体"/>
          <w:szCs w:val="21"/>
        </w:rPr>
      </w:pPr>
      <w:r>
        <w:rPr>
          <w:rFonts w:ascii="宋体" w:hAnsi="宋体"/>
          <w:szCs w:val="21"/>
        </w:rPr>
        <w:t>8</w:t>
      </w:r>
      <w:r>
        <w:rPr>
          <w:rFonts w:hint="eastAsia" w:ascii="宋体" w:hAnsi="宋体"/>
          <w:szCs w:val="21"/>
        </w:rPr>
        <w:t>、乙方对甲方提出的安全整改意见不及时整改的，每逾期一天，乙方按</w:t>
      </w:r>
      <w:r>
        <w:rPr>
          <w:rFonts w:ascii="宋体" w:hAnsi="宋体"/>
          <w:szCs w:val="21"/>
        </w:rPr>
        <w:t>200</w:t>
      </w:r>
      <w:r>
        <w:rPr>
          <w:rFonts w:hint="eastAsia" w:ascii="宋体" w:hAnsi="宋体"/>
          <w:szCs w:val="21"/>
        </w:rPr>
        <w:t>元至</w:t>
      </w:r>
      <w:r>
        <w:rPr>
          <w:rFonts w:ascii="宋体" w:hAnsi="宋体"/>
          <w:szCs w:val="21"/>
        </w:rPr>
        <w:t>1000</w:t>
      </w:r>
      <w:r>
        <w:rPr>
          <w:rFonts w:hint="eastAsia" w:ascii="宋体" w:hAnsi="宋体"/>
          <w:szCs w:val="21"/>
        </w:rPr>
        <w:t>元</w:t>
      </w:r>
      <w:r>
        <w:rPr>
          <w:rFonts w:ascii="宋体" w:hAnsi="宋体"/>
          <w:szCs w:val="21"/>
        </w:rPr>
        <w:t>/</w:t>
      </w:r>
      <w:r>
        <w:rPr>
          <w:rFonts w:hint="eastAsia" w:ascii="宋体" w:hAnsi="宋体"/>
          <w:szCs w:val="21"/>
        </w:rPr>
        <w:t>天承担扣款违约责任。</w:t>
      </w:r>
    </w:p>
    <w:p w14:paraId="2200563B">
      <w:pPr>
        <w:snapToGrid w:val="0"/>
        <w:spacing w:line="360" w:lineRule="auto"/>
        <w:ind w:firstLine="420" w:firstLineChars="200"/>
        <w:rPr>
          <w:rFonts w:hint="eastAsia" w:ascii="宋体" w:hAnsi="宋体"/>
          <w:szCs w:val="21"/>
        </w:rPr>
      </w:pPr>
      <w:r>
        <w:rPr>
          <w:rFonts w:ascii="宋体" w:hAnsi="宋体"/>
          <w:szCs w:val="21"/>
        </w:rPr>
        <w:t>9</w:t>
      </w:r>
      <w:r>
        <w:rPr>
          <w:rFonts w:hint="eastAsia" w:ascii="宋体" w:hAnsi="宋体"/>
          <w:szCs w:val="21"/>
        </w:rPr>
        <w:t>、实施过程中发生人身伤亡、设备事故有隐瞒行为的，除接受政府有关部门处理外，过错方应承担</w:t>
      </w:r>
      <w:r>
        <w:rPr>
          <w:rFonts w:ascii="宋体" w:hAnsi="宋体"/>
          <w:szCs w:val="21"/>
        </w:rPr>
        <w:t>3000</w:t>
      </w:r>
      <w:r>
        <w:rPr>
          <w:rFonts w:hint="eastAsia" w:ascii="宋体" w:hAnsi="宋体"/>
          <w:szCs w:val="21"/>
        </w:rPr>
        <w:t>元至</w:t>
      </w:r>
      <w:r>
        <w:rPr>
          <w:rFonts w:ascii="宋体" w:hAnsi="宋体"/>
          <w:szCs w:val="21"/>
        </w:rPr>
        <w:t>10000</w:t>
      </w:r>
      <w:r>
        <w:rPr>
          <w:rFonts w:hint="eastAsia" w:ascii="宋体" w:hAnsi="宋体"/>
          <w:szCs w:val="21"/>
        </w:rPr>
        <w:t>元</w:t>
      </w:r>
      <w:r>
        <w:rPr>
          <w:rFonts w:ascii="宋体" w:hAnsi="宋体"/>
          <w:szCs w:val="21"/>
        </w:rPr>
        <w:t>/</w:t>
      </w:r>
      <w:r>
        <w:rPr>
          <w:rFonts w:hint="eastAsia" w:ascii="宋体" w:hAnsi="宋体"/>
          <w:szCs w:val="21"/>
        </w:rPr>
        <w:t>次的扣款违约责任。</w:t>
      </w:r>
    </w:p>
    <w:p w14:paraId="1D47F23F">
      <w:pPr>
        <w:snapToGrid w:val="0"/>
        <w:spacing w:line="360" w:lineRule="auto"/>
        <w:ind w:firstLine="420" w:firstLineChars="200"/>
        <w:rPr>
          <w:rFonts w:hint="eastAsia" w:ascii="宋体" w:hAnsi="宋体"/>
          <w:szCs w:val="21"/>
        </w:rPr>
      </w:pPr>
      <w:r>
        <w:rPr>
          <w:rFonts w:ascii="宋体" w:hAnsi="宋体"/>
          <w:szCs w:val="21"/>
        </w:rPr>
        <w:t>10</w:t>
      </w:r>
      <w:r>
        <w:rPr>
          <w:rFonts w:hint="eastAsia" w:ascii="宋体" w:hAnsi="宋体"/>
          <w:szCs w:val="21"/>
        </w:rPr>
        <w:t>、乙方因承担违约责任被扣款，甲方可从安全保证金内扣除。</w:t>
      </w:r>
    </w:p>
    <w:p w14:paraId="456FA71A">
      <w:pPr>
        <w:snapToGrid w:val="0"/>
        <w:spacing w:line="360" w:lineRule="auto"/>
        <w:ind w:firstLine="420" w:firstLineChars="200"/>
        <w:rPr>
          <w:rFonts w:hint="eastAsia" w:ascii="宋体" w:hAnsi="宋体"/>
          <w:szCs w:val="21"/>
        </w:rPr>
      </w:pPr>
      <w:r>
        <w:rPr>
          <w:rFonts w:ascii="宋体" w:hAnsi="宋体"/>
          <w:szCs w:val="21"/>
        </w:rPr>
        <w:t>11</w:t>
      </w:r>
      <w:r>
        <w:rPr>
          <w:rFonts w:hint="eastAsia" w:ascii="宋体" w:hAnsi="宋体"/>
          <w:szCs w:val="21"/>
        </w:rPr>
        <w:t>、乙方严重违反本合同达到</w:t>
      </w:r>
      <w:r>
        <w:rPr>
          <w:rFonts w:ascii="宋体" w:hAnsi="宋体"/>
          <w:szCs w:val="21"/>
          <w:u w:val="single"/>
        </w:rPr>
        <w:t xml:space="preserve">  </w:t>
      </w:r>
      <w:r>
        <w:rPr>
          <w:rFonts w:hint="eastAsia" w:ascii="宋体" w:hAnsi="宋体"/>
          <w:szCs w:val="21"/>
          <w:u w:val="single"/>
        </w:rPr>
        <w:t>四</w:t>
      </w:r>
      <w:r>
        <w:rPr>
          <w:rFonts w:ascii="宋体" w:hAnsi="宋体"/>
          <w:szCs w:val="21"/>
          <w:u w:val="single"/>
        </w:rPr>
        <w:t xml:space="preserve">  </w:t>
      </w:r>
      <w:r>
        <w:rPr>
          <w:rFonts w:hint="eastAsia" w:ascii="宋体" w:hAnsi="宋体"/>
          <w:szCs w:val="21"/>
        </w:rPr>
        <w:t>项的，甲方有权解除主合同和本从合同，乙方应承担由此造成的一切损失。</w:t>
      </w:r>
    </w:p>
    <w:p w14:paraId="1C34ACE3">
      <w:pPr>
        <w:snapToGrid w:val="0"/>
        <w:spacing w:line="360" w:lineRule="auto"/>
        <w:ind w:firstLine="420" w:firstLineChars="200"/>
        <w:rPr>
          <w:rFonts w:hint="eastAsia" w:ascii="宋体" w:hAnsi="宋体"/>
          <w:szCs w:val="21"/>
        </w:rPr>
      </w:pPr>
      <w:r>
        <w:rPr>
          <w:rFonts w:hint="eastAsia" w:ascii="宋体" w:hAnsi="宋体"/>
          <w:szCs w:val="21"/>
        </w:rPr>
        <w:t>十四、合同争议的解决方式。</w:t>
      </w:r>
    </w:p>
    <w:p w14:paraId="5BE63550">
      <w:pPr>
        <w:snapToGrid w:val="0"/>
        <w:spacing w:line="360" w:lineRule="auto"/>
        <w:ind w:firstLine="420" w:firstLineChars="200"/>
        <w:rPr>
          <w:rFonts w:hint="eastAsia" w:ascii="宋体" w:hAnsi="宋体"/>
          <w:szCs w:val="21"/>
        </w:rPr>
      </w:pPr>
      <w:r>
        <w:rPr>
          <w:rFonts w:hint="eastAsia" w:ascii="宋体" w:hAnsi="宋体"/>
          <w:szCs w:val="21"/>
        </w:rPr>
        <w:t>本合同在履行过程中发生事故产生争议，由双方当事人协商解决；协商或调解不成的则依法向发包人所在地人民法院起诉。</w:t>
      </w:r>
    </w:p>
    <w:p w14:paraId="42EF07AA">
      <w:pPr>
        <w:snapToGrid w:val="0"/>
        <w:spacing w:line="360" w:lineRule="auto"/>
        <w:ind w:firstLine="420" w:firstLineChars="200"/>
        <w:rPr>
          <w:rFonts w:hint="eastAsia" w:ascii="宋体" w:hAnsi="宋体"/>
          <w:szCs w:val="21"/>
        </w:rPr>
      </w:pPr>
      <w:r>
        <w:rPr>
          <w:rFonts w:hint="eastAsia" w:ascii="宋体" w:hAnsi="宋体"/>
          <w:szCs w:val="21"/>
        </w:rPr>
        <w:t>十五、其他条款</w:t>
      </w:r>
    </w:p>
    <w:p w14:paraId="442EF99C">
      <w:pPr>
        <w:snapToGrid w:val="0"/>
        <w:spacing w:line="360" w:lineRule="auto"/>
        <w:ind w:firstLine="420" w:firstLineChars="200"/>
        <w:rPr>
          <w:rFonts w:hint="eastAsia" w:ascii="宋体" w:hAnsi="宋体"/>
          <w:szCs w:val="21"/>
        </w:rPr>
      </w:pPr>
      <w:r>
        <w:rPr>
          <w:rFonts w:hint="eastAsia" w:ascii="宋体" w:hAnsi="宋体"/>
          <w:szCs w:val="21"/>
        </w:rPr>
        <w:t>本合同自双方签字盖章之日起生效，合同在履行期内双方均不得随意变更或解除。合同若有未尽事宜，经双方共同协商可进行书面修改或补充，由此形成的补充协议与本合同具有同等效力。本合同的法律效力独立于主合同。</w:t>
      </w:r>
    </w:p>
    <w:p w14:paraId="3AF7D914">
      <w:pPr>
        <w:snapToGrid w:val="0"/>
        <w:spacing w:line="360" w:lineRule="auto"/>
        <w:ind w:firstLine="420" w:firstLineChars="200"/>
        <w:rPr>
          <w:rFonts w:hint="eastAsia" w:ascii="宋体" w:hAnsi="宋体"/>
          <w:szCs w:val="21"/>
        </w:rPr>
      </w:pPr>
      <w:r>
        <w:rPr>
          <w:rFonts w:hint="eastAsia" w:ascii="宋体" w:hAnsi="宋体"/>
          <w:szCs w:val="21"/>
        </w:rPr>
        <w:t>本合同一式肆份，甲乙双方各执二份。</w:t>
      </w:r>
    </w:p>
    <w:p w14:paraId="76F97E21">
      <w:pPr>
        <w:snapToGrid w:val="0"/>
        <w:spacing w:line="360" w:lineRule="auto"/>
        <w:ind w:firstLine="420" w:firstLineChars="200"/>
        <w:rPr>
          <w:rFonts w:hint="eastAsia" w:ascii="宋体" w:hAnsi="宋体"/>
          <w:szCs w:val="21"/>
        </w:rPr>
      </w:pPr>
      <w:r>
        <w:rPr>
          <w:rFonts w:hint="eastAsia" w:ascii="宋体" w:hAnsi="宋体"/>
          <w:szCs w:val="21"/>
        </w:rPr>
        <w:t>甲方（公章）：                         乙方（公章）：</w:t>
      </w:r>
      <w:r>
        <w:rPr>
          <w:rFonts w:ascii="宋体" w:hAnsi="宋体"/>
          <w:szCs w:val="21"/>
        </w:rPr>
        <w:t xml:space="preserve"> </w:t>
      </w:r>
    </w:p>
    <w:p w14:paraId="54FC375F">
      <w:pPr>
        <w:snapToGrid w:val="0"/>
        <w:spacing w:line="360" w:lineRule="auto"/>
        <w:ind w:firstLine="420" w:firstLineChars="200"/>
        <w:rPr>
          <w:rFonts w:hint="eastAsia" w:ascii="宋体" w:hAnsi="宋体"/>
          <w:szCs w:val="21"/>
        </w:rPr>
      </w:pPr>
      <w:r>
        <w:rPr>
          <w:rFonts w:hint="eastAsia" w:ascii="宋体" w:hAnsi="宋体"/>
          <w:szCs w:val="21"/>
        </w:rPr>
        <w:t xml:space="preserve">法定代表人（签字）：                 </w:t>
      </w:r>
      <w:r>
        <w:rPr>
          <w:rFonts w:ascii="宋体" w:hAnsi="宋体"/>
          <w:szCs w:val="21"/>
        </w:rPr>
        <w:t xml:space="preserve"> </w:t>
      </w:r>
      <w:r>
        <w:rPr>
          <w:rFonts w:hint="eastAsia" w:ascii="宋体" w:hAnsi="宋体"/>
          <w:szCs w:val="21"/>
        </w:rPr>
        <w:t xml:space="preserve"> 法定代表人（签字）：</w:t>
      </w:r>
    </w:p>
    <w:p w14:paraId="1670B2EA">
      <w:pPr>
        <w:snapToGrid w:val="0"/>
        <w:spacing w:line="360" w:lineRule="auto"/>
        <w:ind w:firstLine="420" w:firstLineChars="200"/>
        <w:rPr>
          <w:rFonts w:hint="eastAsia" w:ascii="宋体" w:hAnsi="宋体"/>
          <w:szCs w:val="21"/>
        </w:rPr>
      </w:pPr>
      <w:r>
        <w:rPr>
          <w:rFonts w:hint="eastAsia" w:ascii="宋体" w:hAnsi="宋体"/>
          <w:szCs w:val="21"/>
        </w:rPr>
        <w:t>签约代表</w:t>
      </w:r>
      <w:r>
        <w:rPr>
          <w:rFonts w:ascii="宋体" w:hAnsi="宋体"/>
          <w:szCs w:val="21"/>
        </w:rPr>
        <w:t xml:space="preserve"> ：</w:t>
      </w:r>
      <w:r>
        <w:rPr>
          <w:rFonts w:hint="eastAsia" w:ascii="宋体" w:hAnsi="宋体"/>
          <w:szCs w:val="21"/>
        </w:rPr>
        <w:t xml:space="preserve">                           签约代表：</w:t>
      </w:r>
    </w:p>
    <w:p w14:paraId="3FFAE767">
      <w:pPr>
        <w:snapToGrid w:val="0"/>
        <w:spacing w:line="360" w:lineRule="auto"/>
        <w:ind w:firstLine="420" w:firstLineChars="200"/>
        <w:jc w:val="left"/>
        <w:rPr>
          <w:rFonts w:hint="eastAsia"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 xml:space="preserve"> </w:t>
      </w:r>
      <w:r>
        <w:rPr>
          <w:rFonts w:ascii="宋体" w:hAnsi="宋体"/>
          <w:szCs w:val="21"/>
        </w:rPr>
        <w:t xml:space="preserve"> 月 </w:t>
      </w:r>
      <w:r>
        <w:rPr>
          <w:rFonts w:hint="eastAsia" w:ascii="宋体" w:hAnsi="宋体"/>
          <w:szCs w:val="21"/>
        </w:rPr>
        <w:t xml:space="preserve"> </w:t>
      </w:r>
      <w:r>
        <w:rPr>
          <w:rFonts w:ascii="宋体" w:hAnsi="宋体"/>
          <w:szCs w:val="21"/>
        </w:rPr>
        <w:t xml:space="preserve">  日</w:t>
      </w:r>
      <w:r>
        <w:rPr>
          <w:rFonts w:hint="eastAsia" w:ascii="宋体" w:hAnsi="宋体"/>
          <w:szCs w:val="21"/>
        </w:rPr>
        <w:t xml:space="preserve">                           年</w:t>
      </w:r>
      <w:r>
        <w:rPr>
          <w:rFonts w:ascii="宋体" w:hAnsi="宋体"/>
          <w:szCs w:val="21"/>
        </w:rPr>
        <w:t xml:space="preserve">  </w:t>
      </w:r>
      <w:r>
        <w:rPr>
          <w:rFonts w:hint="eastAsia" w:ascii="宋体" w:hAnsi="宋体"/>
          <w:szCs w:val="21"/>
        </w:rPr>
        <w:t xml:space="preserve"> </w:t>
      </w:r>
      <w:r>
        <w:rPr>
          <w:rFonts w:ascii="宋体" w:hAnsi="宋体"/>
          <w:szCs w:val="21"/>
        </w:rPr>
        <w:t xml:space="preserve"> 月 </w:t>
      </w:r>
      <w:r>
        <w:rPr>
          <w:rFonts w:hint="eastAsia" w:ascii="宋体" w:hAnsi="宋体"/>
          <w:szCs w:val="21"/>
        </w:rPr>
        <w:t xml:space="preserve"> </w:t>
      </w:r>
      <w:r>
        <w:rPr>
          <w:rFonts w:ascii="宋体" w:hAnsi="宋体"/>
          <w:szCs w:val="21"/>
        </w:rPr>
        <w:t xml:space="preserve">  日</w:t>
      </w:r>
    </w:p>
    <w:p w14:paraId="4570ADA6">
      <w:pPr>
        <w:widowControl/>
        <w:jc w:val="left"/>
        <w:rPr>
          <w:rFonts w:ascii="宋体"/>
        </w:rPr>
      </w:pPr>
      <w:r>
        <w:rPr>
          <w:rFonts w:ascii="宋体"/>
        </w:rPr>
        <w:br w:type="page"/>
      </w:r>
    </w:p>
    <w:p w14:paraId="3B765A90">
      <w:pPr>
        <w:pStyle w:val="4"/>
        <w:rPr>
          <w:rFonts w:hint="eastAsia"/>
        </w:rPr>
      </w:pPr>
      <w:r>
        <w:rPr>
          <w:rFonts w:hint="eastAsia"/>
        </w:rPr>
        <w:t>附件</w:t>
      </w:r>
      <w:r>
        <w:t>4</w:t>
      </w:r>
      <w:r>
        <w:rPr>
          <w:rFonts w:hint="eastAsia"/>
        </w:rPr>
        <w:t xml:space="preserve"> 质量保修书</w:t>
      </w:r>
    </w:p>
    <w:p w14:paraId="4293B228">
      <w:pPr>
        <w:adjustRightInd w:val="0"/>
        <w:snapToGrid w:val="0"/>
        <w:spacing w:line="360" w:lineRule="auto"/>
        <w:ind w:firstLine="281" w:firstLineChars="100"/>
        <w:jc w:val="center"/>
        <w:rPr>
          <w:rFonts w:hint="eastAsia" w:ascii="宋体" w:hAnsi="宋体"/>
          <w:b/>
          <w:sz w:val="28"/>
          <w:szCs w:val="21"/>
        </w:rPr>
      </w:pPr>
      <w:bookmarkStart w:id="22" w:name="_Toc28982"/>
      <w:bookmarkStart w:id="23" w:name="_Toc370066716"/>
      <w:bookmarkStart w:id="24" w:name="_Toc444179547"/>
      <w:bookmarkStart w:id="25" w:name="_Toc331605688"/>
      <w:bookmarkStart w:id="26" w:name="_Toc444964573"/>
      <w:bookmarkStart w:id="27" w:name="_Toc444179476"/>
      <w:r>
        <w:rPr>
          <w:rFonts w:hint="eastAsia" w:ascii="宋体" w:hAnsi="宋体"/>
          <w:b/>
          <w:sz w:val="28"/>
          <w:szCs w:val="21"/>
        </w:rPr>
        <w:t>质量保修书</w:t>
      </w:r>
      <w:bookmarkEnd w:id="22"/>
      <w:bookmarkEnd w:id="23"/>
      <w:bookmarkEnd w:id="24"/>
      <w:bookmarkEnd w:id="25"/>
      <w:bookmarkEnd w:id="26"/>
      <w:bookmarkEnd w:id="27"/>
    </w:p>
    <w:p w14:paraId="51FC295A">
      <w:pPr>
        <w:shd w:val="clear" w:color="auto" w:fill="FFFFFF"/>
        <w:adjustRightInd w:val="0"/>
        <w:snapToGrid w:val="0"/>
        <w:spacing w:line="360" w:lineRule="auto"/>
        <w:rPr>
          <w:rFonts w:hint="eastAsia" w:ascii="宋体" w:hAnsi="宋体" w:cs="宋体"/>
          <w:kern w:val="0"/>
          <w:szCs w:val="21"/>
        </w:rPr>
      </w:pPr>
    </w:p>
    <w:p w14:paraId="165B81A4">
      <w:pPr>
        <w:shd w:val="clear" w:color="auto" w:fill="FFFFFF"/>
        <w:adjustRightInd w:val="0"/>
        <w:snapToGrid w:val="0"/>
        <w:spacing w:line="360" w:lineRule="auto"/>
        <w:rPr>
          <w:rFonts w:hint="eastAsia" w:ascii="宋体" w:hAnsi="宋体" w:cs="宋体"/>
          <w:kern w:val="0"/>
          <w:szCs w:val="21"/>
        </w:rPr>
      </w:pPr>
      <w:r>
        <w:rPr>
          <w:rFonts w:hint="eastAsia" w:ascii="宋体" w:hAnsi="宋体" w:cs="宋体"/>
          <w:kern w:val="0"/>
          <w:szCs w:val="21"/>
        </w:rPr>
        <w:t>甲方：</w:t>
      </w:r>
      <w:r>
        <w:rPr>
          <w:rFonts w:hint="eastAsia" w:ascii="宋体" w:hAnsi="宋体"/>
          <w:kern w:val="0"/>
          <w:szCs w:val="21"/>
          <w:u w:val="single"/>
        </w:rPr>
        <w:t xml:space="preserve">                             </w:t>
      </w:r>
      <w:r>
        <w:rPr>
          <w:rFonts w:hint="eastAsia" w:ascii="宋体" w:hAnsi="宋体" w:cs="宋体"/>
          <w:kern w:val="0"/>
          <w:szCs w:val="21"/>
          <w:u w:val="single"/>
        </w:rPr>
        <w:t xml:space="preserve"> </w:t>
      </w:r>
      <w:r>
        <w:rPr>
          <w:rFonts w:hint="eastAsia" w:ascii="宋体" w:hAnsi="宋体" w:cs="宋体"/>
          <w:kern w:val="0"/>
          <w:szCs w:val="21"/>
        </w:rPr>
        <w:t xml:space="preserve">  </w:t>
      </w:r>
    </w:p>
    <w:p w14:paraId="3D020429">
      <w:pPr>
        <w:shd w:val="clear" w:color="auto" w:fill="FFFFFF"/>
        <w:adjustRightInd w:val="0"/>
        <w:snapToGrid w:val="0"/>
        <w:spacing w:line="360" w:lineRule="auto"/>
        <w:rPr>
          <w:rFonts w:hint="eastAsia" w:ascii="宋体" w:hAnsi="宋体" w:cs="宋体"/>
          <w:kern w:val="0"/>
          <w:szCs w:val="21"/>
          <w:u w:val="single"/>
        </w:rPr>
      </w:pPr>
      <w:r>
        <w:rPr>
          <w:rFonts w:hint="eastAsia" w:ascii="宋体" w:hAnsi="宋体" w:cs="宋体"/>
          <w:kern w:val="0"/>
          <w:szCs w:val="21"/>
        </w:rPr>
        <w:t>乙方：</w:t>
      </w:r>
      <w:r>
        <w:rPr>
          <w:rFonts w:hint="eastAsia" w:ascii="宋体" w:hAnsi="宋体"/>
          <w:szCs w:val="21"/>
          <w:u w:val="single"/>
        </w:rPr>
        <w:t xml:space="preserve"> </w:t>
      </w:r>
      <w:r>
        <w:rPr>
          <w:rFonts w:ascii="宋体" w:hAnsi="宋体"/>
          <w:szCs w:val="21"/>
          <w:u w:val="single"/>
        </w:rPr>
        <w:t xml:space="preserve">                             </w:t>
      </w:r>
    </w:p>
    <w:p w14:paraId="5A6D2874">
      <w:pPr>
        <w:shd w:val="clear" w:color="auto" w:fill="FFFFFF"/>
        <w:adjustRightInd w:val="0"/>
        <w:snapToGrid w:val="0"/>
        <w:spacing w:line="360" w:lineRule="auto"/>
        <w:rPr>
          <w:rFonts w:hint="eastAsia" w:ascii="宋体" w:hAnsi="宋体" w:cs="宋体"/>
          <w:kern w:val="0"/>
          <w:szCs w:val="21"/>
        </w:rPr>
      </w:pPr>
      <w:r>
        <w:rPr>
          <w:rFonts w:ascii="宋体" w:hAnsi="宋体" w:cs="宋体"/>
          <w:kern w:val="0"/>
          <w:szCs w:val="21"/>
        </w:rPr>
        <w:t xml:space="preserve">    </w:t>
      </w:r>
      <w:r>
        <w:rPr>
          <w:rFonts w:hint="eastAsia" w:ascii="宋体" w:hAnsi="宋体" w:cs="宋体"/>
          <w:kern w:val="0"/>
          <w:szCs w:val="21"/>
        </w:rPr>
        <w:t>为保证</w:t>
      </w:r>
      <w:r>
        <w:rPr>
          <w:rFonts w:hint="eastAsia" w:ascii="宋体" w:hAnsi="宋体"/>
          <w:szCs w:val="21"/>
          <w:u w:val="single"/>
        </w:rPr>
        <w:t xml:space="preserve"> </w:t>
      </w:r>
      <w:r>
        <w:rPr>
          <w:rFonts w:hint="eastAsia" w:ascii="宋体" w:hAnsi="宋体" w:cs="宋体"/>
          <w:spacing w:val="15"/>
          <w:kern w:val="0"/>
          <w:szCs w:val="21"/>
          <w:u w:val="single"/>
        </w:rPr>
        <w:t>广州工控大湾区现代高端装备研发生产基地项目（三期）办公家具采购项目</w:t>
      </w:r>
      <w:r>
        <w:rPr>
          <w:rFonts w:hint="eastAsia" w:ascii="宋体" w:hAnsi="宋体" w:cs="宋体"/>
          <w:kern w:val="0"/>
          <w:szCs w:val="21"/>
        </w:rPr>
        <w:t>在合理使用期限内正常使用，经双方协商一致签订质量保修书。乙方在质量保修期内按照有关法律、法规、规章的管理规定及双方约定承担质量保修责任。</w:t>
      </w:r>
    </w:p>
    <w:p w14:paraId="2252A1A5">
      <w:pPr>
        <w:shd w:val="clear" w:color="auto" w:fill="FFFFFF"/>
        <w:adjustRightInd w:val="0"/>
        <w:snapToGrid w:val="0"/>
        <w:spacing w:line="360" w:lineRule="auto"/>
        <w:ind w:firstLine="422" w:firstLineChars="200"/>
        <w:rPr>
          <w:rFonts w:hint="eastAsia" w:ascii="宋体" w:hAnsi="宋体" w:cs="宋体"/>
          <w:b/>
          <w:kern w:val="0"/>
          <w:szCs w:val="21"/>
        </w:rPr>
      </w:pPr>
      <w:r>
        <w:rPr>
          <w:rFonts w:hint="eastAsia" w:ascii="宋体" w:hAnsi="宋体" w:cs="宋体"/>
          <w:b/>
          <w:kern w:val="0"/>
          <w:szCs w:val="21"/>
        </w:rPr>
        <w:t>一、质量保修范围和内容</w:t>
      </w:r>
    </w:p>
    <w:p w14:paraId="5D15EE50">
      <w:pPr>
        <w:shd w:val="clear" w:color="auto" w:fill="FFFFFF"/>
        <w:adjustRightInd w:val="0"/>
        <w:snapToGrid w:val="0"/>
        <w:spacing w:line="360" w:lineRule="auto"/>
        <w:rPr>
          <w:rFonts w:hint="eastAsia" w:ascii="宋体" w:hAnsi="宋体" w:cs="宋体"/>
          <w:b/>
          <w:kern w:val="0"/>
          <w:szCs w:val="21"/>
        </w:rPr>
      </w:pPr>
      <w:r>
        <w:rPr>
          <w:rFonts w:ascii="宋体" w:hAnsi="宋体" w:cs="宋体"/>
          <w:kern w:val="0"/>
          <w:szCs w:val="21"/>
        </w:rPr>
        <w:t xml:space="preserve">    </w:t>
      </w:r>
      <w:r>
        <w:rPr>
          <w:rFonts w:hint="eastAsia" w:ascii="宋体" w:hAnsi="宋体" w:cs="宋体"/>
          <w:kern w:val="0"/>
          <w:szCs w:val="21"/>
        </w:rPr>
        <w:t>质量保修范围为乙方承包的购置和安装的设备及相关服务。具体质量保修内容双方约定如下：</w:t>
      </w:r>
      <w:r>
        <w:rPr>
          <w:rFonts w:hint="eastAsia" w:ascii="宋体" w:hAnsi="宋体" w:cs="宋体"/>
          <w:kern w:val="0"/>
          <w:szCs w:val="21"/>
          <w:u w:val="single"/>
        </w:rPr>
        <w:t xml:space="preserve"> </w:t>
      </w:r>
      <w:r>
        <w:rPr>
          <w:rFonts w:hint="eastAsia" w:ascii="宋体" w:hAnsi="宋体"/>
          <w:szCs w:val="21"/>
          <w:u w:val="single"/>
        </w:rPr>
        <w:t>本合同的质量保证期（简称“质保期”）为</w:t>
      </w:r>
      <w:r>
        <w:rPr>
          <w:rFonts w:ascii="宋体" w:hAnsi="宋体"/>
          <w:szCs w:val="21"/>
          <w:u w:val="single"/>
        </w:rPr>
        <w:t xml:space="preserve"> </w:t>
      </w:r>
      <w:r>
        <w:rPr>
          <w:rFonts w:ascii="宋体" w:hAnsi="宋体"/>
          <w:b/>
          <w:bCs/>
          <w:szCs w:val="21"/>
          <w:u w:val="single"/>
        </w:rPr>
        <w:t xml:space="preserve"> </w:t>
      </w:r>
      <w:r>
        <w:rPr>
          <w:rFonts w:hint="eastAsia" w:ascii="宋体" w:hAnsi="宋体"/>
          <w:b/>
          <w:bCs/>
          <w:szCs w:val="21"/>
          <w:u w:val="single"/>
        </w:rPr>
        <w:t>1</w:t>
      </w:r>
      <w:r>
        <w:rPr>
          <w:rFonts w:ascii="宋体" w:hAnsi="宋体"/>
          <w:b/>
          <w:bCs/>
          <w:szCs w:val="21"/>
          <w:u w:val="single"/>
        </w:rPr>
        <w:t xml:space="preserve"> </w:t>
      </w:r>
      <w:r>
        <w:rPr>
          <w:rFonts w:ascii="宋体" w:hAnsi="宋体"/>
          <w:szCs w:val="21"/>
          <w:u w:val="single"/>
        </w:rPr>
        <w:t xml:space="preserve"> 年，</w:t>
      </w:r>
      <w:r>
        <w:rPr>
          <w:rFonts w:hint="eastAsia" w:ascii="宋体" w:hAnsi="宋体"/>
          <w:szCs w:val="21"/>
          <w:u w:val="single"/>
        </w:rPr>
        <w:t>质保期从验收之日起计算。质保期内</w:t>
      </w:r>
      <w:r>
        <w:rPr>
          <w:rFonts w:ascii="宋体" w:hAnsi="宋体"/>
          <w:szCs w:val="21"/>
          <w:u w:val="single"/>
        </w:rPr>
        <w:t>所有设备维修服务均为上门服务</w:t>
      </w:r>
      <w:r>
        <w:rPr>
          <w:rFonts w:hint="eastAsia" w:ascii="宋体" w:hAnsi="宋体"/>
          <w:szCs w:val="21"/>
          <w:u w:val="single"/>
        </w:rPr>
        <w:t>，且</w:t>
      </w:r>
      <w:r>
        <w:rPr>
          <w:rFonts w:ascii="宋体" w:hAnsi="宋体"/>
          <w:szCs w:val="21"/>
          <w:u w:val="single"/>
        </w:rPr>
        <w:t>为免费</w:t>
      </w:r>
      <w:r>
        <w:rPr>
          <w:rFonts w:hint="eastAsia" w:ascii="宋体" w:hAnsi="宋体"/>
          <w:szCs w:val="21"/>
          <w:u w:val="single"/>
        </w:rPr>
        <w:t>。</w:t>
      </w:r>
    </w:p>
    <w:p w14:paraId="205E4FAD">
      <w:pPr>
        <w:shd w:val="clear" w:color="auto" w:fill="FFFFFF"/>
        <w:adjustRightInd w:val="0"/>
        <w:snapToGrid w:val="0"/>
        <w:spacing w:line="360" w:lineRule="auto"/>
        <w:ind w:firstLine="422" w:firstLineChars="200"/>
        <w:rPr>
          <w:rFonts w:hint="eastAsia" w:ascii="宋体" w:hAnsi="宋体" w:cs="宋体"/>
          <w:b/>
          <w:kern w:val="0"/>
          <w:szCs w:val="21"/>
        </w:rPr>
      </w:pPr>
      <w:r>
        <w:rPr>
          <w:rFonts w:hint="eastAsia" w:ascii="宋体" w:hAnsi="宋体" w:cs="宋体"/>
          <w:b/>
          <w:kern w:val="0"/>
          <w:szCs w:val="21"/>
        </w:rPr>
        <w:t>二、质量保修期</w:t>
      </w:r>
    </w:p>
    <w:p w14:paraId="15FAF495">
      <w:pPr>
        <w:shd w:val="clear" w:color="auto" w:fill="FFFFFF"/>
        <w:adjustRightInd w:val="0"/>
        <w:snapToGrid w:val="0"/>
        <w:spacing w:line="360" w:lineRule="auto"/>
        <w:ind w:firstLine="420" w:firstLineChars="200"/>
        <w:rPr>
          <w:rFonts w:hint="eastAsia" w:ascii="宋体" w:hAnsi="宋体" w:cs="宋体"/>
          <w:b/>
          <w:kern w:val="0"/>
          <w:szCs w:val="21"/>
        </w:rPr>
      </w:pPr>
      <w:r>
        <w:rPr>
          <w:rFonts w:hint="eastAsia" w:ascii="宋体" w:hAnsi="宋体" w:cs="宋体"/>
          <w:kern w:val="0"/>
          <w:szCs w:val="21"/>
        </w:rPr>
        <w:t>自验收合格之日起，乙方提供</w:t>
      </w:r>
      <w:r>
        <w:rPr>
          <w:rFonts w:ascii="宋体" w:hAnsi="宋体" w:cs="宋体"/>
          <w:kern w:val="0"/>
          <w:szCs w:val="21"/>
          <w:u w:val="single"/>
        </w:rPr>
        <w:t xml:space="preserve"> </w:t>
      </w:r>
      <w:r>
        <w:rPr>
          <w:rFonts w:hint="eastAsia" w:ascii="宋体" w:hAnsi="宋体" w:cs="宋体"/>
          <w:kern w:val="0"/>
          <w:szCs w:val="21"/>
          <w:u w:val="single"/>
        </w:rPr>
        <w:t>1</w:t>
      </w:r>
      <w:r>
        <w:rPr>
          <w:rFonts w:ascii="宋体" w:hAnsi="宋体" w:cs="宋体"/>
          <w:kern w:val="0"/>
          <w:szCs w:val="21"/>
          <w:u w:val="single"/>
        </w:rPr>
        <w:t xml:space="preserve"> </w:t>
      </w:r>
      <w:r>
        <w:rPr>
          <w:rFonts w:hint="eastAsia" w:ascii="宋体" w:hAnsi="宋体" w:cs="宋体"/>
          <w:kern w:val="0"/>
          <w:szCs w:val="21"/>
        </w:rPr>
        <w:t>年的免费质保期，质保期内，非因操作不当造成要更换的零配件及货物由乙方负责包修、包换。在质保期结束前1个月，乙方须免费对货物进行一次全面的维护与保养。</w:t>
      </w:r>
    </w:p>
    <w:p w14:paraId="570FD5DA">
      <w:pPr>
        <w:shd w:val="clear" w:color="auto" w:fill="FFFFFF"/>
        <w:adjustRightInd w:val="0"/>
        <w:snapToGrid w:val="0"/>
        <w:spacing w:line="360" w:lineRule="auto"/>
        <w:ind w:firstLine="422" w:firstLineChars="200"/>
        <w:rPr>
          <w:rFonts w:hint="eastAsia" w:ascii="宋体" w:hAnsi="宋体" w:cs="宋体"/>
          <w:b/>
          <w:kern w:val="0"/>
          <w:szCs w:val="21"/>
        </w:rPr>
      </w:pPr>
      <w:r>
        <w:rPr>
          <w:rFonts w:hint="eastAsia" w:ascii="宋体" w:hAnsi="宋体" w:cs="宋体"/>
          <w:b/>
          <w:kern w:val="0"/>
          <w:szCs w:val="21"/>
        </w:rPr>
        <w:t>三、质量保修责任</w:t>
      </w:r>
    </w:p>
    <w:p w14:paraId="3715010F">
      <w:pPr>
        <w:widowControl/>
        <w:shd w:val="clear" w:color="auto" w:fill="FFFFFF"/>
        <w:adjustRightInd w:val="0"/>
        <w:snapToGrid w:val="0"/>
        <w:spacing w:line="360" w:lineRule="auto"/>
        <w:ind w:firstLine="420" w:firstLineChars="200"/>
        <w:rPr>
          <w:rFonts w:hint="eastAsia" w:ascii="宋体" w:hAnsi="宋体" w:cs="宋体"/>
          <w:kern w:val="0"/>
          <w:szCs w:val="21"/>
        </w:rPr>
      </w:pPr>
      <w:r>
        <w:rPr>
          <w:rFonts w:ascii="宋体" w:hAnsi="宋体" w:cs="宋体"/>
          <w:kern w:val="0"/>
          <w:szCs w:val="21"/>
        </w:rPr>
        <w:t>1</w:t>
      </w:r>
      <w:r>
        <w:rPr>
          <w:rFonts w:hint="eastAsia" w:ascii="宋体" w:hAnsi="宋体" w:cs="宋体"/>
          <w:kern w:val="0"/>
          <w:szCs w:val="21"/>
        </w:rPr>
        <w:t>、项目验收后在质量保修期内属于保修范围和内容的项目，乙方</w:t>
      </w:r>
      <w:r>
        <w:rPr>
          <w:rFonts w:ascii="宋体" w:hAnsi="宋体" w:cs="宋体"/>
          <w:kern w:val="0"/>
          <w:szCs w:val="21"/>
        </w:rPr>
        <w:t>设备故障报修的响应时间：2小时。若电话中无法解决，4小时内到达现场进行维护。</w:t>
      </w:r>
    </w:p>
    <w:p w14:paraId="42FF83E0">
      <w:pPr>
        <w:shd w:val="clear" w:color="auto" w:fill="FFFFFF"/>
        <w:adjustRightInd w:val="0"/>
        <w:snapToGrid w:val="0"/>
        <w:spacing w:line="360" w:lineRule="auto"/>
        <w:ind w:firstLine="420" w:firstLineChars="200"/>
        <w:rPr>
          <w:rFonts w:hint="eastAsia" w:ascii="宋体" w:hAnsi="宋体" w:cs="宋体"/>
          <w:kern w:val="0"/>
          <w:szCs w:val="21"/>
        </w:rPr>
      </w:pPr>
      <w:r>
        <w:rPr>
          <w:rFonts w:ascii="宋体" w:hAnsi="宋体" w:cs="宋体"/>
          <w:kern w:val="0"/>
          <w:szCs w:val="21"/>
        </w:rPr>
        <w:t xml:space="preserve"> 2</w:t>
      </w:r>
      <w:r>
        <w:rPr>
          <w:rFonts w:hint="eastAsia" w:ascii="宋体" w:hAnsi="宋体" w:cs="宋体"/>
          <w:kern w:val="0"/>
          <w:szCs w:val="21"/>
        </w:rPr>
        <w:t>、发生须紧急抢修事故乙方接到事故通知后，应立即到达事故现场抢修。非乙方施工或设备质量引起的事故，抢修费用由甲方承担。</w:t>
      </w:r>
    </w:p>
    <w:p w14:paraId="1F0C7E9B">
      <w:pPr>
        <w:shd w:val="clear" w:color="auto" w:fill="FFFFFF"/>
        <w:adjustRightInd w:val="0"/>
        <w:snapToGrid w:val="0"/>
        <w:spacing w:line="360" w:lineRule="auto"/>
        <w:ind w:firstLine="420" w:firstLineChars="200"/>
        <w:rPr>
          <w:rFonts w:hint="eastAsia" w:ascii="宋体" w:hAnsi="宋体" w:cs="宋体"/>
          <w:kern w:val="0"/>
          <w:szCs w:val="21"/>
        </w:rPr>
      </w:pPr>
      <w:r>
        <w:rPr>
          <w:rFonts w:ascii="宋体" w:hAnsi="宋体" w:cs="宋体"/>
          <w:kern w:val="0"/>
          <w:szCs w:val="21"/>
        </w:rPr>
        <w:t>3</w:t>
      </w:r>
      <w:r>
        <w:rPr>
          <w:rFonts w:hint="eastAsia" w:ascii="宋体" w:hAnsi="宋体" w:cs="宋体"/>
          <w:kern w:val="0"/>
          <w:szCs w:val="21"/>
        </w:rPr>
        <w:t>、在国家规定的产品合理使用期限内，乙方确保产品的质量。因乙方原因致使产品在合理使用期限内造成人身和财产损害的，乙方应承担损害赔偿责任。</w:t>
      </w:r>
    </w:p>
    <w:p w14:paraId="2D1E2251">
      <w:pPr>
        <w:shd w:val="clear" w:color="auto" w:fill="FFFFFF"/>
        <w:adjustRightInd w:val="0"/>
        <w:snapToGrid w:val="0"/>
        <w:spacing w:line="360" w:lineRule="auto"/>
        <w:ind w:firstLine="420" w:firstLineChars="200"/>
        <w:rPr>
          <w:rFonts w:hint="eastAsia" w:ascii="宋体" w:hAnsi="宋体" w:cs="宋体"/>
          <w:b/>
          <w:kern w:val="0"/>
          <w:szCs w:val="21"/>
        </w:rPr>
      </w:pPr>
      <w:r>
        <w:rPr>
          <w:rFonts w:hint="eastAsia" w:ascii="宋体" w:hAnsi="宋体" w:cs="宋体"/>
          <w:kern w:val="0"/>
          <w:szCs w:val="21"/>
        </w:rPr>
        <w:t>4、质量保修完成后，由甲方组织验收。</w:t>
      </w:r>
    </w:p>
    <w:p w14:paraId="0803B34E">
      <w:pPr>
        <w:shd w:val="clear" w:color="auto" w:fill="FFFFFF"/>
        <w:adjustRightInd w:val="0"/>
        <w:snapToGrid w:val="0"/>
        <w:spacing w:line="360" w:lineRule="auto"/>
        <w:ind w:firstLine="422" w:firstLineChars="200"/>
        <w:rPr>
          <w:rFonts w:hint="eastAsia" w:ascii="宋体" w:hAnsi="宋体" w:cs="宋体"/>
          <w:b/>
          <w:kern w:val="0"/>
          <w:szCs w:val="21"/>
        </w:rPr>
      </w:pPr>
      <w:r>
        <w:rPr>
          <w:rFonts w:hint="eastAsia" w:ascii="宋体" w:hAnsi="宋体" w:cs="宋体"/>
          <w:b/>
          <w:kern w:val="0"/>
          <w:szCs w:val="21"/>
        </w:rPr>
        <w:t>四、其他</w:t>
      </w:r>
    </w:p>
    <w:p w14:paraId="6EF440D8">
      <w:pPr>
        <w:shd w:val="clear" w:color="auto" w:fill="FFFFFF"/>
        <w:adjustRightInd w:val="0"/>
        <w:snapToGrid w:val="0"/>
        <w:spacing w:line="360" w:lineRule="auto"/>
        <w:ind w:firstLine="420" w:firstLineChars="200"/>
        <w:rPr>
          <w:rFonts w:hint="eastAsia" w:ascii="宋体" w:hAnsi="宋体" w:cs="宋体"/>
          <w:kern w:val="0"/>
          <w:szCs w:val="21"/>
        </w:rPr>
      </w:pPr>
      <w:r>
        <w:rPr>
          <w:rFonts w:hint="eastAsia" w:ascii="宋体" w:hAnsi="宋体" w:cs="宋体"/>
          <w:kern w:val="0"/>
          <w:szCs w:val="21"/>
        </w:rPr>
        <w:t>双方约定的其他质量保修事项：</w:t>
      </w:r>
      <w:r>
        <w:rPr>
          <w:rFonts w:hint="eastAsia" w:ascii="宋体" w:hAnsi="宋体" w:cs="宋体"/>
          <w:kern w:val="0"/>
          <w:szCs w:val="21"/>
          <w:u w:val="single"/>
        </w:rPr>
        <w:t xml:space="preserve">   无    </w:t>
      </w:r>
      <w:r>
        <w:rPr>
          <w:rFonts w:hint="eastAsia" w:ascii="宋体" w:hAnsi="宋体" w:cs="宋体"/>
          <w:kern w:val="0"/>
          <w:szCs w:val="21"/>
        </w:rPr>
        <w:t>。</w:t>
      </w:r>
    </w:p>
    <w:p w14:paraId="2AA5662E">
      <w:pPr>
        <w:shd w:val="clear" w:color="auto" w:fill="FFFFFF"/>
        <w:adjustRightInd w:val="0"/>
        <w:snapToGrid w:val="0"/>
        <w:spacing w:line="360" w:lineRule="auto"/>
        <w:ind w:firstLine="420" w:firstLineChars="200"/>
        <w:rPr>
          <w:rFonts w:hint="eastAsia" w:ascii="宋体" w:hAnsi="宋体" w:cs="宋体"/>
          <w:kern w:val="0"/>
          <w:szCs w:val="21"/>
        </w:rPr>
      </w:pPr>
      <w:r>
        <w:rPr>
          <w:rFonts w:hint="eastAsia" w:ascii="宋体" w:hAnsi="宋体" w:cs="宋体"/>
          <w:kern w:val="0"/>
          <w:szCs w:val="21"/>
        </w:rPr>
        <w:t>本项目质量保修书由买、卖双方共同签署，作为合同附件，其有效期限至保修期满且签发保修期质量合格报告之日。</w:t>
      </w:r>
    </w:p>
    <w:p w14:paraId="5D36D067">
      <w:pPr>
        <w:shd w:val="clear" w:color="auto" w:fill="FFFFFF"/>
        <w:adjustRightInd w:val="0"/>
        <w:snapToGrid w:val="0"/>
        <w:spacing w:line="360" w:lineRule="auto"/>
        <w:ind w:firstLine="570"/>
        <w:rPr>
          <w:rFonts w:hint="eastAsia" w:ascii="宋体" w:hAnsi="宋体" w:cs="宋体"/>
          <w:kern w:val="0"/>
          <w:szCs w:val="21"/>
        </w:rPr>
      </w:pPr>
    </w:p>
    <w:p w14:paraId="4081A07F">
      <w:pPr>
        <w:shd w:val="clear" w:color="auto" w:fill="FFFFFF"/>
        <w:adjustRightInd w:val="0"/>
        <w:snapToGrid w:val="0"/>
        <w:spacing w:line="360" w:lineRule="auto"/>
        <w:rPr>
          <w:rFonts w:hint="eastAsia" w:ascii="宋体" w:hAnsi="宋体" w:cs="宋体"/>
          <w:kern w:val="0"/>
          <w:szCs w:val="21"/>
        </w:rPr>
      </w:pPr>
      <w:r>
        <w:rPr>
          <w:rFonts w:hint="eastAsia" w:ascii="宋体" w:hAnsi="宋体" w:cs="宋体"/>
          <w:kern w:val="0"/>
          <w:szCs w:val="21"/>
        </w:rPr>
        <w:t>甲方：(公章)</w:t>
      </w:r>
      <w:r>
        <w:rPr>
          <w:rFonts w:hint="eastAsia" w:ascii="宋体" w:hAnsi="宋体"/>
          <w:kern w:val="0"/>
          <w:szCs w:val="21"/>
        </w:rPr>
        <w:t xml:space="preserve">                           </w:t>
      </w:r>
      <w:r>
        <w:rPr>
          <w:rFonts w:hint="eastAsia" w:ascii="宋体" w:hAnsi="宋体" w:cs="宋体"/>
          <w:kern w:val="0"/>
          <w:szCs w:val="21"/>
        </w:rPr>
        <w:t>乙方： (公章)</w:t>
      </w:r>
      <w:r>
        <w:rPr>
          <w:rFonts w:hint="eastAsia" w:ascii="宋体" w:hAnsi="宋体"/>
          <w:kern w:val="0"/>
          <w:szCs w:val="21"/>
        </w:rPr>
        <w:t xml:space="preserve">  </w:t>
      </w:r>
      <w:r>
        <w:rPr>
          <w:rFonts w:hint="eastAsia" w:ascii="宋体" w:hAnsi="宋体" w:cs="宋体"/>
          <w:kern w:val="0"/>
          <w:szCs w:val="21"/>
        </w:rPr>
        <w:t xml:space="preserve">           </w:t>
      </w:r>
    </w:p>
    <w:p w14:paraId="490E1515">
      <w:pPr>
        <w:shd w:val="clear" w:color="auto" w:fill="FFFFFF"/>
        <w:adjustRightInd w:val="0"/>
        <w:snapToGrid w:val="0"/>
        <w:spacing w:line="360" w:lineRule="auto"/>
        <w:rPr>
          <w:rFonts w:hint="eastAsia" w:ascii="宋体" w:hAnsi="宋体" w:cs="宋体"/>
          <w:kern w:val="0"/>
          <w:szCs w:val="21"/>
        </w:rPr>
      </w:pPr>
      <w:r>
        <w:rPr>
          <w:rFonts w:hint="eastAsia" w:ascii="宋体" w:hAnsi="宋体" w:cs="宋体"/>
          <w:kern w:val="0"/>
          <w:szCs w:val="21"/>
        </w:rPr>
        <w:t>法定代表人：</w:t>
      </w:r>
      <w:r>
        <w:rPr>
          <w:rFonts w:ascii="宋体" w:hAnsi="宋体" w:cs="宋体"/>
          <w:kern w:val="0"/>
          <w:szCs w:val="21"/>
        </w:rPr>
        <w:t xml:space="preserve">    </w:t>
      </w: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 xml:space="preserve"> 法定代表人：</w:t>
      </w:r>
    </w:p>
    <w:p w14:paraId="1514AD2A">
      <w:pPr>
        <w:shd w:val="clear" w:color="auto" w:fill="FFFFFF"/>
        <w:adjustRightInd w:val="0"/>
        <w:snapToGrid w:val="0"/>
        <w:spacing w:line="360" w:lineRule="auto"/>
        <w:rPr>
          <w:rFonts w:hint="eastAsia" w:ascii="宋体" w:hAnsi="宋体" w:cs="宋体"/>
          <w:kern w:val="0"/>
          <w:szCs w:val="21"/>
        </w:rPr>
      </w:pPr>
      <w:r>
        <w:rPr>
          <w:rFonts w:hint="eastAsia" w:ascii="宋体" w:hAnsi="宋体" w:cs="宋体"/>
          <w:kern w:val="0"/>
          <w:szCs w:val="21"/>
        </w:rPr>
        <w:t>委托代理人：</w:t>
      </w:r>
      <w:r>
        <w:rPr>
          <w:rFonts w:ascii="宋体" w:hAnsi="宋体" w:cs="宋体"/>
          <w:kern w:val="0"/>
          <w:szCs w:val="21"/>
        </w:rPr>
        <w:t xml:space="preserve">         </w:t>
      </w: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 xml:space="preserve">     委托代理人：</w:t>
      </w:r>
    </w:p>
    <w:p w14:paraId="4EB36604">
      <w:pPr>
        <w:shd w:val="clear" w:color="auto" w:fill="FFFFFF"/>
        <w:snapToGrid w:val="0"/>
        <w:spacing w:line="360" w:lineRule="auto"/>
      </w:pPr>
      <w:r>
        <w:rPr>
          <w:rFonts w:hint="eastAsia" w:ascii="宋体" w:hAnsi="宋体" w:cs="宋体"/>
          <w:kern w:val="0"/>
          <w:szCs w:val="21"/>
        </w:rPr>
        <w:t>时间：     年   月   日                时间：     年   月   日</w:t>
      </w:r>
    </w:p>
    <w:p w14:paraId="1FE8DA6B">
      <w:pPr>
        <w:spacing w:line="360" w:lineRule="auto"/>
        <w:jc w:val="left"/>
        <w:rPr>
          <w:rFonts w:ascii="宋体"/>
        </w:rPr>
      </w:pPr>
    </w:p>
    <w:p w14:paraId="689B9CE8">
      <w:pPr>
        <w:spacing w:line="360" w:lineRule="auto"/>
        <w:jc w:val="center"/>
        <w:rPr>
          <w:rFonts w:hint="eastAsia" w:ascii="宋体" w:hAnsi="宋体"/>
          <w:b/>
          <w:szCs w:val="21"/>
        </w:rPr>
      </w:pPr>
      <w:r>
        <w:rPr>
          <w:rFonts w:ascii="宋体"/>
        </w:rPr>
        <w:br w:type="page"/>
      </w:r>
    </w:p>
    <w:p w14:paraId="104BF85C">
      <w:pPr>
        <w:spacing w:line="480" w:lineRule="exact"/>
        <w:rPr>
          <w:rFonts w:eastAsia="黑体"/>
          <w:b/>
          <w:sz w:val="44"/>
        </w:rPr>
      </w:pPr>
    </w:p>
    <w:p w14:paraId="4D3B7B82">
      <w:pPr>
        <w:spacing w:line="480" w:lineRule="exact"/>
        <w:jc w:val="center"/>
        <w:rPr>
          <w:rFonts w:eastAsia="黑体"/>
          <w:b/>
          <w:sz w:val="44"/>
        </w:rPr>
      </w:pPr>
    </w:p>
    <w:p w14:paraId="4287B5C1">
      <w:pPr>
        <w:spacing w:line="480" w:lineRule="exact"/>
        <w:jc w:val="center"/>
        <w:rPr>
          <w:rFonts w:eastAsia="黑体"/>
          <w:b/>
          <w:sz w:val="44"/>
        </w:rPr>
      </w:pPr>
    </w:p>
    <w:p w14:paraId="29963790">
      <w:pPr>
        <w:spacing w:line="480" w:lineRule="exact"/>
        <w:jc w:val="center"/>
        <w:rPr>
          <w:rFonts w:eastAsia="黑体"/>
          <w:b/>
          <w:sz w:val="44"/>
        </w:rPr>
      </w:pPr>
    </w:p>
    <w:p w14:paraId="7C68E6A3">
      <w:pPr>
        <w:spacing w:line="480" w:lineRule="exact"/>
        <w:jc w:val="center"/>
        <w:rPr>
          <w:rFonts w:eastAsia="黑体"/>
          <w:b/>
          <w:sz w:val="44"/>
        </w:rPr>
      </w:pPr>
    </w:p>
    <w:p w14:paraId="757F3784">
      <w:pPr>
        <w:spacing w:line="480" w:lineRule="exact"/>
        <w:jc w:val="center"/>
        <w:rPr>
          <w:rFonts w:eastAsia="黑体"/>
          <w:b/>
          <w:sz w:val="44"/>
        </w:rPr>
      </w:pPr>
    </w:p>
    <w:p w14:paraId="1BDF7820">
      <w:pPr>
        <w:spacing w:line="480" w:lineRule="exact"/>
        <w:jc w:val="center"/>
        <w:rPr>
          <w:rFonts w:eastAsia="黑体"/>
          <w:b/>
          <w:sz w:val="44"/>
        </w:rPr>
      </w:pPr>
    </w:p>
    <w:p w14:paraId="2959E791">
      <w:pPr>
        <w:spacing w:line="480" w:lineRule="exact"/>
        <w:jc w:val="center"/>
        <w:rPr>
          <w:rFonts w:eastAsia="黑体"/>
          <w:b/>
          <w:sz w:val="44"/>
        </w:rPr>
      </w:pPr>
    </w:p>
    <w:p w14:paraId="0B4FB8CA">
      <w:pPr>
        <w:spacing w:line="480" w:lineRule="exact"/>
        <w:jc w:val="center"/>
        <w:rPr>
          <w:rFonts w:eastAsia="黑体"/>
          <w:b/>
          <w:sz w:val="44"/>
        </w:rPr>
      </w:pPr>
    </w:p>
    <w:p w14:paraId="6205CDE4">
      <w:pPr>
        <w:spacing w:line="480" w:lineRule="exact"/>
        <w:jc w:val="center"/>
        <w:outlineLvl w:val="0"/>
        <w:rPr>
          <w:rFonts w:eastAsia="黑体"/>
          <w:b/>
          <w:sz w:val="44"/>
        </w:rPr>
      </w:pPr>
      <w:r>
        <w:rPr>
          <w:rFonts w:hint="eastAsia" w:eastAsia="黑体"/>
          <w:b/>
          <w:sz w:val="44"/>
        </w:rPr>
        <w:t>第六部分  投标文件格式</w:t>
      </w:r>
    </w:p>
    <w:p w14:paraId="338DFAAD">
      <w:pPr>
        <w:spacing w:line="480" w:lineRule="exact"/>
        <w:jc w:val="center"/>
        <w:outlineLvl w:val="0"/>
        <w:rPr>
          <w:b/>
          <w:spacing w:val="100"/>
          <w:w w:val="110"/>
          <w:sz w:val="44"/>
          <w:szCs w:val="44"/>
          <w:u w:val="single"/>
        </w:rPr>
      </w:pPr>
      <w:r>
        <w:rPr>
          <w:b/>
          <w:sz w:val="30"/>
        </w:rPr>
        <w:br w:type="page"/>
      </w:r>
    </w:p>
    <w:p w14:paraId="6128A407">
      <w:pPr>
        <w:tabs>
          <w:tab w:val="left" w:pos="1260"/>
        </w:tabs>
        <w:jc w:val="center"/>
        <w:rPr>
          <w:rFonts w:ascii="Times New Roman" w:hAnsi="Times New Roman"/>
          <w:b/>
          <w:spacing w:val="100"/>
          <w:w w:val="110"/>
          <w:kern w:val="0"/>
          <w:sz w:val="44"/>
          <w:szCs w:val="44"/>
          <w:u w:val="single"/>
        </w:rPr>
      </w:pPr>
    </w:p>
    <w:p w14:paraId="61A05E5E">
      <w:pPr>
        <w:tabs>
          <w:tab w:val="left" w:pos="1260"/>
        </w:tabs>
        <w:jc w:val="center"/>
        <w:rPr>
          <w:rFonts w:ascii="Times New Roman" w:hAnsi="Times New Roman"/>
          <w:b/>
          <w:spacing w:val="100"/>
          <w:w w:val="110"/>
          <w:kern w:val="0"/>
          <w:sz w:val="44"/>
          <w:szCs w:val="44"/>
          <w:u w:val="single"/>
        </w:rPr>
      </w:pPr>
    </w:p>
    <w:p w14:paraId="7C20728A">
      <w:pPr>
        <w:tabs>
          <w:tab w:val="left" w:pos="1260"/>
        </w:tabs>
        <w:jc w:val="center"/>
        <w:rPr>
          <w:rFonts w:ascii="Times New Roman" w:hAnsi="Times New Roman"/>
          <w:b/>
          <w:spacing w:val="100"/>
          <w:w w:val="110"/>
          <w:kern w:val="0"/>
          <w:sz w:val="44"/>
          <w:szCs w:val="44"/>
          <w:u w:val="single"/>
        </w:rPr>
      </w:pPr>
    </w:p>
    <w:p w14:paraId="0B40C007">
      <w:pPr>
        <w:tabs>
          <w:tab w:val="left" w:pos="1260"/>
        </w:tabs>
        <w:jc w:val="center"/>
        <w:rPr>
          <w:rFonts w:ascii="Times New Roman" w:hAnsi="Times New Roman"/>
          <w:b/>
          <w:spacing w:val="100"/>
          <w:w w:val="110"/>
          <w:kern w:val="0"/>
          <w:sz w:val="44"/>
          <w:szCs w:val="44"/>
        </w:rPr>
      </w:pPr>
      <w:r>
        <w:rPr>
          <w:rFonts w:hint="eastAsia" w:ascii="Times New Roman" w:hAnsi="Times New Roman"/>
          <w:b/>
          <w:spacing w:val="100"/>
          <w:w w:val="110"/>
          <w:kern w:val="0"/>
          <w:sz w:val="44"/>
          <w:szCs w:val="44"/>
          <w:u w:val="single"/>
        </w:rPr>
        <w:t xml:space="preserve">       </w:t>
      </w:r>
      <w:r>
        <w:rPr>
          <w:rFonts w:hint="eastAsia" w:ascii="Times New Roman" w:hAnsi="Times New Roman"/>
          <w:b/>
          <w:spacing w:val="100"/>
          <w:w w:val="110"/>
          <w:kern w:val="0"/>
          <w:sz w:val="44"/>
          <w:szCs w:val="44"/>
        </w:rPr>
        <w:t>项目</w:t>
      </w:r>
    </w:p>
    <w:p w14:paraId="6E6B39B8">
      <w:pPr>
        <w:jc w:val="center"/>
        <w:rPr>
          <w:rFonts w:ascii="Times New Roman" w:hAnsi="Times New Roman"/>
          <w:b/>
          <w:kern w:val="0"/>
          <w:sz w:val="44"/>
          <w:szCs w:val="44"/>
        </w:rPr>
      </w:pPr>
    </w:p>
    <w:p w14:paraId="29F4861F">
      <w:pPr>
        <w:jc w:val="center"/>
        <w:rPr>
          <w:rFonts w:ascii="Times New Roman" w:hAnsi="Times New Roman"/>
          <w:b/>
          <w:kern w:val="0"/>
          <w:sz w:val="44"/>
          <w:szCs w:val="44"/>
        </w:rPr>
      </w:pPr>
    </w:p>
    <w:p w14:paraId="1FFD59F1">
      <w:pPr>
        <w:jc w:val="center"/>
        <w:rPr>
          <w:rFonts w:ascii="Times New Roman" w:hAnsi="Times New Roman"/>
          <w:b/>
          <w:kern w:val="0"/>
          <w:sz w:val="44"/>
          <w:szCs w:val="44"/>
        </w:rPr>
      </w:pPr>
    </w:p>
    <w:p w14:paraId="7B10B2A6">
      <w:pPr>
        <w:tabs>
          <w:tab w:val="left" w:pos="1260"/>
        </w:tabs>
        <w:jc w:val="center"/>
        <w:rPr>
          <w:rFonts w:ascii="Times New Roman" w:hAnsi="Times New Roman"/>
          <w:b/>
          <w:spacing w:val="100"/>
          <w:w w:val="110"/>
          <w:kern w:val="0"/>
          <w:sz w:val="44"/>
          <w:szCs w:val="44"/>
        </w:rPr>
      </w:pPr>
      <w:r>
        <w:rPr>
          <w:rFonts w:hint="eastAsia" w:ascii="Times New Roman" w:hAnsi="Times New Roman"/>
          <w:b/>
          <w:spacing w:val="100"/>
          <w:w w:val="110"/>
          <w:kern w:val="0"/>
          <w:sz w:val="44"/>
          <w:szCs w:val="44"/>
        </w:rPr>
        <w:t>投标文件</w:t>
      </w:r>
    </w:p>
    <w:p w14:paraId="18D26109">
      <w:pPr>
        <w:jc w:val="center"/>
        <w:rPr>
          <w:rFonts w:ascii="Times New Roman" w:hAnsi="Times New Roman"/>
          <w:b/>
          <w:kern w:val="0"/>
          <w:sz w:val="44"/>
          <w:szCs w:val="44"/>
        </w:rPr>
      </w:pPr>
    </w:p>
    <w:p w14:paraId="62836CD0">
      <w:pPr>
        <w:jc w:val="center"/>
        <w:rPr>
          <w:rFonts w:ascii="Times New Roman" w:hAnsi="Times New Roman"/>
          <w:b/>
          <w:kern w:val="0"/>
          <w:sz w:val="44"/>
          <w:szCs w:val="44"/>
        </w:rPr>
      </w:pPr>
    </w:p>
    <w:p w14:paraId="2B045CEE">
      <w:pPr>
        <w:jc w:val="center"/>
        <w:rPr>
          <w:rFonts w:ascii="Times New Roman" w:hAnsi="Times New Roman"/>
          <w:b/>
          <w:kern w:val="0"/>
          <w:sz w:val="44"/>
          <w:szCs w:val="44"/>
        </w:rPr>
      </w:pPr>
    </w:p>
    <w:p w14:paraId="54D07208">
      <w:pPr>
        <w:jc w:val="center"/>
        <w:rPr>
          <w:rFonts w:ascii="Times New Roman" w:hAnsi="Times New Roman"/>
          <w:b/>
          <w:kern w:val="0"/>
          <w:sz w:val="44"/>
          <w:szCs w:val="44"/>
        </w:rPr>
      </w:pPr>
    </w:p>
    <w:p w14:paraId="592FE8E0">
      <w:pPr>
        <w:jc w:val="center"/>
        <w:rPr>
          <w:rFonts w:ascii="Times New Roman" w:hAnsi="Times New Roman"/>
          <w:b/>
          <w:kern w:val="0"/>
          <w:sz w:val="44"/>
          <w:szCs w:val="44"/>
        </w:rPr>
      </w:pPr>
    </w:p>
    <w:p w14:paraId="30D4370F">
      <w:pPr>
        <w:spacing w:line="360" w:lineRule="auto"/>
        <w:ind w:firstLine="1259" w:firstLineChars="448"/>
        <w:rPr>
          <w:rFonts w:ascii="Times New Roman" w:hAnsi="Times New Roman"/>
          <w:b/>
          <w:kern w:val="0"/>
          <w:sz w:val="28"/>
          <w:szCs w:val="28"/>
          <w:u w:val="single"/>
        </w:rPr>
      </w:pPr>
      <w:r>
        <w:rPr>
          <w:rFonts w:hint="eastAsia" w:ascii="Times New Roman" w:hAnsi="Times New Roman"/>
          <w:b/>
          <w:kern w:val="0"/>
          <w:sz w:val="28"/>
          <w:szCs w:val="28"/>
        </w:rPr>
        <w:t>招标项目编号：</w:t>
      </w:r>
      <w:r>
        <w:rPr>
          <w:rFonts w:hint="eastAsia" w:ascii="Times New Roman" w:hAnsi="Times New Roman"/>
          <w:b/>
          <w:kern w:val="0"/>
          <w:sz w:val="28"/>
          <w:szCs w:val="28"/>
          <w:u w:val="single"/>
        </w:rPr>
        <w:t xml:space="preserve">                       </w:t>
      </w:r>
    </w:p>
    <w:p w14:paraId="71CD04AA">
      <w:pPr>
        <w:spacing w:line="360" w:lineRule="auto"/>
        <w:ind w:firstLine="1259" w:firstLineChars="448"/>
        <w:rPr>
          <w:rFonts w:ascii="Times New Roman" w:hAnsi="Times New Roman"/>
          <w:b/>
          <w:kern w:val="0"/>
          <w:sz w:val="28"/>
          <w:szCs w:val="28"/>
          <w:u w:val="single"/>
        </w:rPr>
      </w:pPr>
      <w:r>
        <w:rPr>
          <w:rFonts w:hint="eastAsia" w:ascii="Times New Roman" w:hAnsi="Times New Roman"/>
          <w:b/>
          <w:kern w:val="0"/>
          <w:sz w:val="28"/>
          <w:szCs w:val="28"/>
        </w:rPr>
        <w:t>项目名称：</w:t>
      </w:r>
      <w:r>
        <w:rPr>
          <w:rFonts w:hint="eastAsia" w:ascii="Times New Roman" w:hAnsi="Times New Roman"/>
          <w:b/>
          <w:kern w:val="0"/>
          <w:sz w:val="28"/>
          <w:szCs w:val="28"/>
          <w:u w:val="single"/>
        </w:rPr>
        <w:t xml:space="preserve">                       </w:t>
      </w:r>
    </w:p>
    <w:p w14:paraId="57118061">
      <w:pPr>
        <w:ind w:firstLine="1439" w:firstLineChars="512"/>
        <w:rPr>
          <w:rFonts w:ascii="Times New Roman" w:hAnsi="Times New Roman"/>
          <w:b/>
          <w:kern w:val="0"/>
          <w:sz w:val="28"/>
          <w:szCs w:val="28"/>
        </w:rPr>
      </w:pPr>
    </w:p>
    <w:p w14:paraId="10FE11CA">
      <w:pPr>
        <w:ind w:firstLine="2262" w:firstLineChars="512"/>
        <w:rPr>
          <w:rFonts w:ascii="Times New Roman" w:hAnsi="Times New Roman"/>
          <w:b/>
          <w:kern w:val="0"/>
          <w:sz w:val="44"/>
          <w:szCs w:val="44"/>
        </w:rPr>
      </w:pPr>
    </w:p>
    <w:p w14:paraId="4EB49327">
      <w:pPr>
        <w:ind w:firstLine="2262" w:firstLineChars="512"/>
        <w:rPr>
          <w:rFonts w:ascii="Times New Roman" w:hAnsi="Times New Roman"/>
          <w:b/>
          <w:kern w:val="0"/>
          <w:sz w:val="44"/>
          <w:szCs w:val="44"/>
        </w:rPr>
      </w:pPr>
    </w:p>
    <w:p w14:paraId="203B9F47">
      <w:pPr>
        <w:spacing w:line="360" w:lineRule="auto"/>
        <w:ind w:firstLine="1439" w:firstLineChars="512"/>
        <w:rPr>
          <w:rFonts w:ascii="Times New Roman" w:hAnsi="Times New Roman"/>
          <w:b/>
          <w:kern w:val="0"/>
          <w:sz w:val="28"/>
          <w:szCs w:val="28"/>
          <w:u w:val="single"/>
        </w:rPr>
      </w:pPr>
      <w:r>
        <w:rPr>
          <w:rFonts w:hint="eastAsia" w:ascii="Times New Roman" w:hAnsi="Times New Roman"/>
          <w:b/>
          <w:kern w:val="0"/>
          <w:sz w:val="28"/>
          <w:szCs w:val="28"/>
        </w:rPr>
        <w:t>投标人名称：</w:t>
      </w:r>
      <w:r>
        <w:rPr>
          <w:rFonts w:hint="eastAsia" w:ascii="Times New Roman" w:hAnsi="Times New Roman"/>
          <w:b/>
          <w:kern w:val="0"/>
          <w:sz w:val="28"/>
          <w:szCs w:val="28"/>
          <w:u w:val="single"/>
        </w:rPr>
        <w:t xml:space="preserve">                          </w:t>
      </w:r>
    </w:p>
    <w:p w14:paraId="30071198">
      <w:pPr>
        <w:autoSpaceDE w:val="0"/>
        <w:autoSpaceDN w:val="0"/>
        <w:spacing w:line="240" w:lineRule="atLeast"/>
        <w:ind w:firstLine="1439" w:firstLineChars="512"/>
        <w:rPr>
          <w:b/>
          <w:sz w:val="28"/>
          <w:szCs w:val="28"/>
        </w:rPr>
      </w:pPr>
      <w:r>
        <w:rPr>
          <w:rFonts w:hint="eastAsia"/>
          <w:b/>
          <w:sz w:val="28"/>
          <w:szCs w:val="28"/>
        </w:rPr>
        <w:t>投标联系人：</w:t>
      </w:r>
    </w:p>
    <w:p w14:paraId="4F7F3F78">
      <w:pPr>
        <w:autoSpaceDE w:val="0"/>
        <w:autoSpaceDN w:val="0"/>
        <w:spacing w:line="240" w:lineRule="atLeast"/>
        <w:ind w:firstLine="1439" w:firstLineChars="512"/>
        <w:rPr>
          <w:b/>
          <w:sz w:val="28"/>
          <w:szCs w:val="28"/>
        </w:rPr>
      </w:pPr>
      <w:r>
        <w:rPr>
          <w:rFonts w:hint="eastAsia"/>
          <w:b/>
          <w:sz w:val="28"/>
          <w:szCs w:val="28"/>
        </w:rPr>
        <w:t>联系方式：</w:t>
      </w:r>
    </w:p>
    <w:p w14:paraId="5D15DF47">
      <w:pPr>
        <w:autoSpaceDE w:val="0"/>
        <w:autoSpaceDN w:val="0"/>
        <w:spacing w:line="240" w:lineRule="atLeast"/>
        <w:ind w:firstLine="1439" w:firstLineChars="512"/>
        <w:rPr>
          <w:b/>
          <w:sz w:val="28"/>
          <w:szCs w:val="28"/>
          <w:u w:val="single"/>
        </w:rPr>
      </w:pPr>
      <w:r>
        <w:rPr>
          <w:rFonts w:hint="eastAsia"/>
          <w:b/>
          <w:sz w:val="28"/>
          <w:szCs w:val="28"/>
        </w:rPr>
        <w:t>日      期：</w:t>
      </w:r>
      <w:r>
        <w:rPr>
          <w:rFonts w:hint="eastAsia"/>
          <w:b/>
          <w:sz w:val="28"/>
          <w:szCs w:val="28"/>
          <w:u w:val="single"/>
        </w:rPr>
        <w:t xml:space="preserve">          </w:t>
      </w:r>
      <w:r>
        <w:rPr>
          <w:rFonts w:hint="eastAsia"/>
          <w:b/>
          <w:sz w:val="28"/>
          <w:szCs w:val="28"/>
        </w:rPr>
        <w:t>年</w:t>
      </w:r>
      <w:r>
        <w:rPr>
          <w:rFonts w:hint="eastAsia"/>
          <w:b/>
          <w:sz w:val="28"/>
          <w:szCs w:val="28"/>
          <w:u w:val="single"/>
        </w:rPr>
        <w:t xml:space="preserve">     </w:t>
      </w:r>
      <w:r>
        <w:rPr>
          <w:rFonts w:hint="eastAsia"/>
          <w:b/>
          <w:sz w:val="28"/>
          <w:szCs w:val="28"/>
        </w:rPr>
        <w:t>月</w:t>
      </w:r>
      <w:r>
        <w:rPr>
          <w:rFonts w:hint="eastAsia"/>
          <w:b/>
          <w:sz w:val="28"/>
          <w:szCs w:val="28"/>
          <w:u w:val="single"/>
        </w:rPr>
        <w:t xml:space="preserve">     </w:t>
      </w:r>
      <w:r>
        <w:rPr>
          <w:rFonts w:hint="eastAsia"/>
          <w:b/>
          <w:sz w:val="28"/>
          <w:szCs w:val="28"/>
        </w:rPr>
        <w:t>日</w:t>
      </w:r>
    </w:p>
    <w:p w14:paraId="3957B4B3">
      <w:pPr>
        <w:pStyle w:val="13"/>
        <w:rPr>
          <w:rFonts w:ascii="Times New Roman" w:hAnsi="Times New Roman"/>
          <w:b w:val="0"/>
          <w:bCs/>
          <w:sz w:val="32"/>
          <w:szCs w:val="32"/>
        </w:rPr>
      </w:pPr>
      <w:r>
        <w:rPr>
          <w:sz w:val="24"/>
          <w:szCs w:val="24"/>
        </w:rPr>
        <w:br w:type="page"/>
      </w:r>
      <w:bookmarkStart w:id="28" w:name="_Toc202820357"/>
      <w:bookmarkStart w:id="29" w:name="_Toc202251079"/>
      <w:bookmarkStart w:id="30" w:name="_Toc202819884"/>
      <w:bookmarkStart w:id="31" w:name="_Toc202254110"/>
      <w:bookmarkStart w:id="32" w:name="_Toc202817002"/>
      <w:bookmarkStart w:id="33" w:name="_Toc202251704"/>
      <w:bookmarkStart w:id="34" w:name="_Toc202252039"/>
      <w:r>
        <w:rPr>
          <w:rFonts w:hint="eastAsia" w:ascii="Times New Roman" w:hAnsi="Times New Roman"/>
          <w:bCs/>
          <w:sz w:val="32"/>
          <w:szCs w:val="32"/>
        </w:rPr>
        <w:t>一、符合性自查表</w:t>
      </w:r>
      <w:bookmarkEnd w:id="28"/>
      <w:bookmarkEnd w:id="29"/>
      <w:bookmarkEnd w:id="30"/>
      <w:bookmarkEnd w:id="31"/>
      <w:bookmarkEnd w:id="32"/>
      <w:bookmarkEnd w:id="33"/>
      <w:bookmarkEnd w:id="34"/>
    </w:p>
    <w:p w14:paraId="6C11FB29">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1.1 符合性审查自查表</w:t>
      </w:r>
    </w:p>
    <w:tbl>
      <w:tblPr>
        <w:tblStyle w:val="22"/>
        <w:tblW w:w="9363" w:type="dxa"/>
        <w:jc w:val="center"/>
        <w:tblLayout w:type="fixed"/>
        <w:tblCellMar>
          <w:top w:w="0" w:type="dxa"/>
          <w:left w:w="0" w:type="dxa"/>
          <w:bottom w:w="0" w:type="dxa"/>
          <w:right w:w="0" w:type="dxa"/>
        </w:tblCellMar>
      </w:tblPr>
      <w:tblGrid>
        <w:gridCol w:w="827"/>
        <w:gridCol w:w="6409"/>
        <w:gridCol w:w="2127"/>
      </w:tblGrid>
      <w:tr w14:paraId="5DB2FF4E">
        <w:tblPrEx>
          <w:tblCellMar>
            <w:top w:w="0" w:type="dxa"/>
            <w:left w:w="0" w:type="dxa"/>
            <w:bottom w:w="0" w:type="dxa"/>
            <w:right w:w="0" w:type="dxa"/>
          </w:tblCellMar>
        </w:tblPrEx>
        <w:trPr>
          <w:trHeight w:val="522"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32DA13F8">
            <w:pPr>
              <w:ind w:left="40" w:leftChars="19"/>
              <w:jc w:val="center"/>
              <w:rPr>
                <w:rFonts w:hint="eastAsia" w:ascii="宋体" w:hAnsi="宋体"/>
                <w:bCs/>
                <w:szCs w:val="21"/>
              </w:rPr>
            </w:pPr>
            <w:r>
              <w:rPr>
                <w:rFonts w:hint="eastAsia" w:ascii="宋体" w:hAnsi="宋体"/>
                <w:bCs/>
                <w:szCs w:val="21"/>
              </w:rPr>
              <w:t>序号</w:t>
            </w:r>
          </w:p>
        </w:tc>
        <w:tc>
          <w:tcPr>
            <w:tcW w:w="6409" w:type="dxa"/>
            <w:tcBorders>
              <w:top w:val="single" w:color="auto" w:sz="4" w:space="0"/>
              <w:left w:val="single" w:color="auto" w:sz="4" w:space="0"/>
              <w:bottom w:val="single" w:color="auto" w:sz="4" w:space="0"/>
              <w:right w:val="single" w:color="auto" w:sz="4" w:space="0"/>
            </w:tcBorders>
            <w:vAlign w:val="center"/>
          </w:tcPr>
          <w:p w14:paraId="425303AF">
            <w:pPr>
              <w:ind w:left="40" w:leftChars="19"/>
              <w:jc w:val="center"/>
              <w:rPr>
                <w:rFonts w:hint="eastAsia" w:ascii="宋体" w:hAnsi="宋体"/>
                <w:szCs w:val="21"/>
              </w:rPr>
            </w:pPr>
            <w:r>
              <w:rPr>
                <w:rFonts w:hint="eastAsia" w:ascii="宋体" w:hAnsi="宋体"/>
                <w:bCs/>
                <w:szCs w:val="21"/>
              </w:rPr>
              <w:t>招标文件要求</w:t>
            </w:r>
          </w:p>
          <w:p w14:paraId="160A3998">
            <w:pPr>
              <w:ind w:left="-171"/>
              <w:jc w:val="center"/>
              <w:rPr>
                <w:rFonts w:hint="eastAsia" w:ascii="宋体" w:hAnsi="宋体"/>
                <w:bCs/>
                <w:szCs w:val="21"/>
              </w:rPr>
            </w:pPr>
            <w:r>
              <w:rPr>
                <w:rFonts w:hint="eastAsia" w:ascii="宋体" w:hAnsi="宋体"/>
                <w:szCs w:val="21"/>
              </w:rPr>
              <w:t>（详见《符合性审查表》各项）</w:t>
            </w:r>
          </w:p>
        </w:tc>
        <w:tc>
          <w:tcPr>
            <w:tcW w:w="2127" w:type="dxa"/>
            <w:tcBorders>
              <w:top w:val="single" w:color="auto" w:sz="4" w:space="0"/>
              <w:left w:val="nil"/>
              <w:bottom w:val="single" w:color="auto" w:sz="4" w:space="0"/>
              <w:right w:val="single" w:color="auto" w:sz="4" w:space="0"/>
            </w:tcBorders>
            <w:vAlign w:val="center"/>
          </w:tcPr>
          <w:p w14:paraId="4456FEF8">
            <w:pPr>
              <w:ind w:left="-171"/>
              <w:jc w:val="center"/>
              <w:rPr>
                <w:rFonts w:hint="eastAsia" w:ascii="宋体" w:hAnsi="宋体"/>
                <w:bCs/>
                <w:szCs w:val="21"/>
              </w:rPr>
            </w:pPr>
            <w:r>
              <w:rPr>
                <w:rFonts w:hint="eastAsia" w:ascii="宋体" w:hAnsi="宋体"/>
                <w:bCs/>
                <w:szCs w:val="21"/>
              </w:rPr>
              <w:t>自查结论</w:t>
            </w:r>
          </w:p>
        </w:tc>
      </w:tr>
      <w:tr w14:paraId="4178EB0F">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0FE20049">
            <w:pPr>
              <w:ind w:left="40" w:leftChars="19" w:right="141" w:rightChars="67"/>
              <w:jc w:val="center"/>
              <w:rPr>
                <w:rFonts w:hint="eastAsia" w:ascii="宋体" w:hAnsi="宋体"/>
                <w:szCs w:val="21"/>
              </w:rPr>
            </w:pPr>
            <w:r>
              <w:rPr>
                <w:rFonts w:ascii="宋体" w:hAnsi="宋体"/>
                <w:szCs w:val="21"/>
              </w:rPr>
              <w:t>1</w:t>
            </w:r>
          </w:p>
        </w:tc>
        <w:tc>
          <w:tcPr>
            <w:tcW w:w="6409" w:type="dxa"/>
            <w:tcBorders>
              <w:top w:val="single" w:color="auto" w:sz="4" w:space="0"/>
              <w:left w:val="single" w:color="auto" w:sz="4" w:space="0"/>
              <w:bottom w:val="single" w:color="auto" w:sz="4" w:space="0"/>
              <w:right w:val="single" w:color="auto" w:sz="4" w:space="0"/>
            </w:tcBorders>
            <w:vAlign w:val="center"/>
          </w:tcPr>
          <w:p w14:paraId="10B85D99">
            <w:pPr>
              <w:ind w:left="40" w:leftChars="19" w:right="141" w:rightChars="67"/>
              <w:rPr>
                <w:rFonts w:hint="eastAsia" w:ascii="宋体" w:hAnsi="宋体"/>
                <w:szCs w:val="21"/>
              </w:rPr>
            </w:pPr>
            <w:r>
              <w:rPr>
                <w:rFonts w:hint="eastAsia" w:ascii="宋体" w:hAnsi="宋体"/>
                <w:szCs w:val="21"/>
              </w:rPr>
              <w:t>投标人符合合格投标人的基本条件</w:t>
            </w:r>
          </w:p>
        </w:tc>
        <w:tc>
          <w:tcPr>
            <w:tcW w:w="2127" w:type="dxa"/>
            <w:tcBorders>
              <w:top w:val="single" w:color="auto" w:sz="4" w:space="0"/>
              <w:left w:val="nil"/>
              <w:bottom w:val="single" w:color="auto" w:sz="4" w:space="0"/>
              <w:right w:val="single" w:color="auto" w:sz="4" w:space="0"/>
            </w:tcBorders>
            <w:vAlign w:val="center"/>
          </w:tcPr>
          <w:p w14:paraId="401854D4">
            <w:pPr>
              <w:ind w:left="-171"/>
              <w:jc w:val="center"/>
              <w:rPr>
                <w:rFonts w:hint="eastAsia" w:ascii="宋体" w:hAnsi="宋体"/>
                <w:szCs w:val="21"/>
              </w:rPr>
            </w:pPr>
            <w:r>
              <w:rPr>
                <w:rFonts w:hint="eastAsia" w:ascii="宋体" w:hAnsi="宋体"/>
                <w:szCs w:val="21"/>
              </w:rPr>
              <w:t>□满足 □不满足</w:t>
            </w:r>
          </w:p>
        </w:tc>
      </w:tr>
      <w:tr w14:paraId="053D3366">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0163A832">
            <w:pPr>
              <w:ind w:left="40" w:leftChars="19" w:right="141" w:rightChars="67"/>
              <w:jc w:val="center"/>
              <w:rPr>
                <w:rFonts w:hint="eastAsia" w:ascii="宋体" w:hAnsi="宋体"/>
                <w:szCs w:val="21"/>
              </w:rPr>
            </w:pPr>
            <w:r>
              <w:rPr>
                <w:rFonts w:ascii="宋体" w:hAnsi="宋体"/>
                <w:szCs w:val="21"/>
              </w:rPr>
              <w:t>2</w:t>
            </w:r>
          </w:p>
        </w:tc>
        <w:tc>
          <w:tcPr>
            <w:tcW w:w="6409" w:type="dxa"/>
            <w:tcBorders>
              <w:top w:val="single" w:color="auto" w:sz="4" w:space="0"/>
              <w:left w:val="single" w:color="auto" w:sz="4" w:space="0"/>
              <w:bottom w:val="single" w:color="auto" w:sz="4" w:space="0"/>
              <w:right w:val="single" w:color="auto" w:sz="4" w:space="0"/>
            </w:tcBorders>
            <w:vAlign w:val="center"/>
          </w:tcPr>
          <w:p w14:paraId="473CF920">
            <w:pPr>
              <w:ind w:left="40" w:leftChars="19" w:right="141" w:rightChars="67"/>
              <w:rPr>
                <w:rFonts w:hint="eastAsia" w:ascii="宋体" w:hAnsi="宋体"/>
                <w:szCs w:val="21"/>
              </w:rPr>
            </w:pPr>
            <w:r>
              <w:rPr>
                <w:rFonts w:hint="eastAsia" w:ascii="宋体" w:hAnsi="宋体"/>
                <w:szCs w:val="21"/>
              </w:rPr>
              <w:t>投标函及投标有效期符合要求</w:t>
            </w:r>
          </w:p>
        </w:tc>
        <w:tc>
          <w:tcPr>
            <w:tcW w:w="2127" w:type="dxa"/>
            <w:tcBorders>
              <w:top w:val="single" w:color="auto" w:sz="4" w:space="0"/>
              <w:left w:val="nil"/>
              <w:bottom w:val="single" w:color="auto" w:sz="4" w:space="0"/>
              <w:right w:val="single" w:color="auto" w:sz="4" w:space="0"/>
            </w:tcBorders>
            <w:vAlign w:val="center"/>
          </w:tcPr>
          <w:p w14:paraId="32BAC2D7">
            <w:pPr>
              <w:ind w:left="-171"/>
              <w:jc w:val="center"/>
              <w:rPr>
                <w:rFonts w:hint="eastAsia" w:ascii="宋体" w:hAnsi="宋体"/>
                <w:szCs w:val="21"/>
              </w:rPr>
            </w:pPr>
            <w:r>
              <w:rPr>
                <w:rFonts w:hint="eastAsia" w:ascii="宋体" w:hAnsi="宋体"/>
                <w:szCs w:val="21"/>
              </w:rPr>
              <w:t>□满足 □不满足</w:t>
            </w:r>
          </w:p>
        </w:tc>
      </w:tr>
      <w:tr w14:paraId="1509DB9C">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03A40EE3">
            <w:pPr>
              <w:ind w:left="40" w:leftChars="19" w:right="141" w:rightChars="67"/>
              <w:jc w:val="center"/>
              <w:rPr>
                <w:rFonts w:hint="eastAsia" w:ascii="宋体" w:hAnsi="宋体"/>
                <w:szCs w:val="21"/>
              </w:rPr>
            </w:pPr>
            <w:r>
              <w:rPr>
                <w:rFonts w:ascii="宋体" w:hAnsi="宋体"/>
                <w:szCs w:val="21"/>
              </w:rPr>
              <w:t>3</w:t>
            </w:r>
          </w:p>
        </w:tc>
        <w:tc>
          <w:tcPr>
            <w:tcW w:w="6409" w:type="dxa"/>
            <w:tcBorders>
              <w:top w:val="single" w:color="auto" w:sz="4" w:space="0"/>
              <w:left w:val="single" w:color="auto" w:sz="4" w:space="0"/>
              <w:bottom w:val="single" w:color="auto" w:sz="4" w:space="0"/>
              <w:right w:val="single" w:color="auto" w:sz="4" w:space="0"/>
            </w:tcBorders>
            <w:vAlign w:val="center"/>
          </w:tcPr>
          <w:p w14:paraId="3A32041D">
            <w:pPr>
              <w:ind w:left="40" w:leftChars="19" w:right="141" w:rightChars="67"/>
              <w:rPr>
                <w:rFonts w:hint="eastAsia" w:ascii="宋体" w:hAnsi="宋体"/>
                <w:szCs w:val="21"/>
              </w:rPr>
            </w:pPr>
            <w:r>
              <w:rPr>
                <w:rFonts w:hint="eastAsia" w:ascii="宋体" w:hAnsi="宋体"/>
                <w:szCs w:val="21"/>
              </w:rPr>
              <w:t>已提交有效的法定代表人</w:t>
            </w:r>
            <w:r>
              <w:rPr>
                <w:rFonts w:ascii="宋体" w:hAnsi="宋体"/>
                <w:szCs w:val="21"/>
              </w:rPr>
              <w:t>/负责人授权委托书（投标签字代表为授权代表时）</w:t>
            </w:r>
          </w:p>
        </w:tc>
        <w:tc>
          <w:tcPr>
            <w:tcW w:w="2127" w:type="dxa"/>
            <w:tcBorders>
              <w:top w:val="single" w:color="auto" w:sz="4" w:space="0"/>
              <w:left w:val="nil"/>
              <w:bottom w:val="single" w:color="auto" w:sz="4" w:space="0"/>
              <w:right w:val="single" w:color="auto" w:sz="4" w:space="0"/>
            </w:tcBorders>
            <w:vAlign w:val="center"/>
          </w:tcPr>
          <w:p w14:paraId="3C5FC317">
            <w:pPr>
              <w:ind w:left="-171"/>
              <w:jc w:val="center"/>
              <w:rPr>
                <w:rFonts w:hint="eastAsia" w:ascii="宋体" w:hAnsi="宋体"/>
                <w:szCs w:val="21"/>
              </w:rPr>
            </w:pPr>
            <w:r>
              <w:rPr>
                <w:rFonts w:hint="eastAsia" w:ascii="宋体" w:hAnsi="宋体"/>
                <w:szCs w:val="21"/>
              </w:rPr>
              <w:t>□满足 □不满足</w:t>
            </w:r>
          </w:p>
        </w:tc>
      </w:tr>
      <w:tr w14:paraId="55DE33D0">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658BFF6A">
            <w:pPr>
              <w:ind w:left="40" w:leftChars="19" w:right="141" w:rightChars="67"/>
              <w:jc w:val="center"/>
              <w:rPr>
                <w:rFonts w:hint="eastAsia" w:ascii="宋体" w:hAnsi="宋体"/>
                <w:szCs w:val="21"/>
              </w:rPr>
            </w:pPr>
            <w:r>
              <w:rPr>
                <w:rFonts w:ascii="宋体" w:hAnsi="宋体"/>
                <w:szCs w:val="21"/>
              </w:rPr>
              <w:t>4</w:t>
            </w:r>
          </w:p>
        </w:tc>
        <w:tc>
          <w:tcPr>
            <w:tcW w:w="6409" w:type="dxa"/>
            <w:tcBorders>
              <w:top w:val="single" w:color="auto" w:sz="4" w:space="0"/>
              <w:left w:val="single" w:color="auto" w:sz="4" w:space="0"/>
              <w:bottom w:val="single" w:color="auto" w:sz="4" w:space="0"/>
              <w:right w:val="single" w:color="auto" w:sz="4" w:space="0"/>
            </w:tcBorders>
            <w:vAlign w:val="center"/>
          </w:tcPr>
          <w:p w14:paraId="750A7F1A">
            <w:pPr>
              <w:ind w:left="40" w:leftChars="19" w:right="141" w:rightChars="67"/>
              <w:rPr>
                <w:rFonts w:hint="eastAsia" w:ascii="宋体" w:hAnsi="宋体"/>
                <w:szCs w:val="21"/>
              </w:rPr>
            </w:pPr>
            <w:r>
              <w:rPr>
                <w:rFonts w:hint="eastAsia" w:ascii="宋体" w:hAnsi="宋体"/>
                <w:szCs w:val="21"/>
              </w:rPr>
              <w:t>投标保证金符合要求</w:t>
            </w:r>
          </w:p>
        </w:tc>
        <w:tc>
          <w:tcPr>
            <w:tcW w:w="2127" w:type="dxa"/>
            <w:tcBorders>
              <w:top w:val="single" w:color="auto" w:sz="4" w:space="0"/>
              <w:left w:val="nil"/>
              <w:bottom w:val="single" w:color="auto" w:sz="4" w:space="0"/>
              <w:right w:val="single" w:color="auto" w:sz="4" w:space="0"/>
            </w:tcBorders>
            <w:vAlign w:val="center"/>
          </w:tcPr>
          <w:p w14:paraId="1B5556E0">
            <w:pPr>
              <w:ind w:left="-171"/>
              <w:jc w:val="center"/>
              <w:rPr>
                <w:rFonts w:hint="eastAsia" w:ascii="宋体" w:hAnsi="宋体"/>
                <w:szCs w:val="21"/>
              </w:rPr>
            </w:pPr>
            <w:r>
              <w:rPr>
                <w:rFonts w:hint="eastAsia" w:ascii="宋体" w:hAnsi="宋体"/>
                <w:szCs w:val="21"/>
              </w:rPr>
              <w:t>□满足 □不满足</w:t>
            </w:r>
          </w:p>
        </w:tc>
      </w:tr>
      <w:tr w14:paraId="3832D5C9">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69B16AA">
            <w:pPr>
              <w:ind w:left="40" w:leftChars="19" w:right="141" w:rightChars="67"/>
              <w:jc w:val="center"/>
              <w:rPr>
                <w:rFonts w:hint="eastAsia" w:ascii="宋体" w:hAnsi="宋体"/>
                <w:szCs w:val="21"/>
              </w:rPr>
            </w:pPr>
            <w:r>
              <w:rPr>
                <w:rFonts w:ascii="宋体" w:hAnsi="宋体"/>
                <w:szCs w:val="21"/>
              </w:rPr>
              <w:t>5</w:t>
            </w:r>
          </w:p>
        </w:tc>
        <w:tc>
          <w:tcPr>
            <w:tcW w:w="6409" w:type="dxa"/>
            <w:tcBorders>
              <w:top w:val="single" w:color="auto" w:sz="4" w:space="0"/>
              <w:left w:val="single" w:color="auto" w:sz="4" w:space="0"/>
              <w:bottom w:val="single" w:color="auto" w:sz="4" w:space="0"/>
              <w:right w:val="single" w:color="auto" w:sz="4" w:space="0"/>
            </w:tcBorders>
            <w:vAlign w:val="center"/>
          </w:tcPr>
          <w:p w14:paraId="55BFFF42">
            <w:pPr>
              <w:ind w:left="40" w:leftChars="19" w:right="141" w:rightChars="67"/>
              <w:rPr>
                <w:rFonts w:hint="eastAsia" w:ascii="宋体" w:hAnsi="宋体"/>
                <w:szCs w:val="21"/>
              </w:rPr>
            </w:pPr>
            <w:r>
              <w:rPr>
                <w:rFonts w:hint="eastAsia" w:ascii="宋体" w:hAnsi="宋体"/>
                <w:szCs w:val="21"/>
              </w:rPr>
              <w:t>投标报价无重大漏项或重大不合理，且不高于最高限价</w:t>
            </w:r>
          </w:p>
        </w:tc>
        <w:tc>
          <w:tcPr>
            <w:tcW w:w="2127" w:type="dxa"/>
            <w:tcBorders>
              <w:top w:val="single" w:color="auto" w:sz="4" w:space="0"/>
              <w:left w:val="nil"/>
              <w:bottom w:val="single" w:color="auto" w:sz="4" w:space="0"/>
              <w:right w:val="single" w:color="auto" w:sz="4" w:space="0"/>
            </w:tcBorders>
            <w:vAlign w:val="center"/>
          </w:tcPr>
          <w:p w14:paraId="1A1ED037">
            <w:pPr>
              <w:ind w:left="-171"/>
              <w:jc w:val="center"/>
              <w:rPr>
                <w:rFonts w:hint="eastAsia" w:ascii="宋体" w:hAnsi="宋体"/>
                <w:szCs w:val="21"/>
              </w:rPr>
            </w:pPr>
            <w:r>
              <w:rPr>
                <w:rFonts w:hint="eastAsia" w:ascii="宋体" w:hAnsi="宋体"/>
                <w:szCs w:val="21"/>
              </w:rPr>
              <w:t>□满足 □不满足</w:t>
            </w:r>
          </w:p>
        </w:tc>
      </w:tr>
      <w:tr w14:paraId="7D6EF3C3">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17491339">
            <w:pPr>
              <w:ind w:left="40" w:leftChars="19" w:right="141" w:rightChars="67"/>
              <w:jc w:val="center"/>
              <w:rPr>
                <w:rFonts w:hint="eastAsia" w:ascii="宋体" w:hAnsi="宋体"/>
                <w:szCs w:val="21"/>
              </w:rPr>
            </w:pPr>
            <w:r>
              <w:rPr>
                <w:rFonts w:ascii="宋体" w:hAnsi="宋体"/>
                <w:szCs w:val="21"/>
              </w:rPr>
              <w:t>6</w:t>
            </w:r>
          </w:p>
        </w:tc>
        <w:tc>
          <w:tcPr>
            <w:tcW w:w="6409" w:type="dxa"/>
            <w:tcBorders>
              <w:top w:val="single" w:color="auto" w:sz="4" w:space="0"/>
              <w:left w:val="single" w:color="auto" w:sz="4" w:space="0"/>
              <w:bottom w:val="single" w:color="auto" w:sz="4" w:space="0"/>
              <w:right w:val="single" w:color="auto" w:sz="4" w:space="0"/>
            </w:tcBorders>
            <w:vAlign w:val="center"/>
          </w:tcPr>
          <w:p w14:paraId="2B68BD49">
            <w:pPr>
              <w:ind w:left="40" w:leftChars="19" w:right="141" w:rightChars="67"/>
              <w:rPr>
                <w:rFonts w:hint="eastAsia" w:ascii="宋体" w:hAnsi="宋体"/>
                <w:szCs w:val="21"/>
              </w:rPr>
            </w:pPr>
            <w:r>
              <w:rPr>
                <w:rFonts w:hint="eastAsia" w:ascii="宋体" w:hAnsi="宋体"/>
                <w:szCs w:val="21"/>
              </w:rPr>
              <w:t>投标人无递交两份或多份内容不同的投标文件，或在一份投标文件中对同一招标货物有两个或多个报价，且未声明哪个为最终报价的（招标文件规定提交备选投标方案的除外）</w:t>
            </w:r>
          </w:p>
        </w:tc>
        <w:tc>
          <w:tcPr>
            <w:tcW w:w="2127" w:type="dxa"/>
            <w:tcBorders>
              <w:top w:val="single" w:color="auto" w:sz="4" w:space="0"/>
              <w:left w:val="nil"/>
              <w:bottom w:val="single" w:color="auto" w:sz="4" w:space="0"/>
              <w:right w:val="single" w:color="auto" w:sz="4" w:space="0"/>
            </w:tcBorders>
            <w:vAlign w:val="center"/>
          </w:tcPr>
          <w:p w14:paraId="25171A7A">
            <w:pPr>
              <w:ind w:left="-171"/>
              <w:jc w:val="center"/>
              <w:rPr>
                <w:rFonts w:hint="eastAsia" w:ascii="宋体" w:hAnsi="宋体"/>
                <w:szCs w:val="21"/>
              </w:rPr>
            </w:pPr>
            <w:r>
              <w:rPr>
                <w:rFonts w:hint="eastAsia" w:ascii="宋体" w:hAnsi="宋体"/>
                <w:szCs w:val="21"/>
              </w:rPr>
              <w:t>□满足 □不满足</w:t>
            </w:r>
          </w:p>
        </w:tc>
      </w:tr>
      <w:tr w14:paraId="419A22EF">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1C051BFC">
            <w:pPr>
              <w:ind w:left="40" w:leftChars="19" w:right="141" w:rightChars="67"/>
              <w:jc w:val="center"/>
              <w:rPr>
                <w:rFonts w:hint="eastAsia" w:ascii="宋体" w:hAnsi="宋体"/>
                <w:szCs w:val="21"/>
              </w:rPr>
            </w:pPr>
            <w:r>
              <w:rPr>
                <w:rFonts w:ascii="宋体" w:hAnsi="宋体"/>
                <w:szCs w:val="21"/>
              </w:rPr>
              <w:t>7</w:t>
            </w:r>
          </w:p>
        </w:tc>
        <w:tc>
          <w:tcPr>
            <w:tcW w:w="6409" w:type="dxa"/>
            <w:tcBorders>
              <w:top w:val="single" w:color="auto" w:sz="4" w:space="0"/>
              <w:left w:val="single" w:color="auto" w:sz="4" w:space="0"/>
              <w:bottom w:val="single" w:color="auto" w:sz="4" w:space="0"/>
              <w:right w:val="single" w:color="auto" w:sz="4" w:space="0"/>
            </w:tcBorders>
            <w:vAlign w:val="center"/>
          </w:tcPr>
          <w:p w14:paraId="170079D1">
            <w:pPr>
              <w:ind w:left="40" w:leftChars="19" w:right="141" w:rightChars="67"/>
              <w:rPr>
                <w:rFonts w:hint="eastAsia" w:ascii="宋体" w:hAnsi="宋体"/>
                <w:szCs w:val="21"/>
              </w:rPr>
            </w:pPr>
            <w:r>
              <w:rPr>
                <w:rFonts w:hint="eastAsia" w:ascii="宋体" w:hAnsi="宋体"/>
                <w:szCs w:val="21"/>
              </w:rPr>
              <w:t>单位负责人为同一人或者存在控股、管理关系的不同单位，不得同时参加本项目投标</w:t>
            </w:r>
          </w:p>
        </w:tc>
        <w:tc>
          <w:tcPr>
            <w:tcW w:w="2127" w:type="dxa"/>
            <w:tcBorders>
              <w:top w:val="single" w:color="auto" w:sz="4" w:space="0"/>
              <w:left w:val="nil"/>
              <w:bottom w:val="single" w:color="auto" w:sz="4" w:space="0"/>
              <w:right w:val="single" w:color="auto" w:sz="4" w:space="0"/>
            </w:tcBorders>
            <w:vAlign w:val="center"/>
          </w:tcPr>
          <w:p w14:paraId="1AC7F575">
            <w:pPr>
              <w:ind w:left="-171"/>
              <w:jc w:val="center"/>
              <w:rPr>
                <w:rFonts w:hint="eastAsia" w:ascii="宋体" w:hAnsi="宋体"/>
                <w:szCs w:val="21"/>
              </w:rPr>
            </w:pPr>
            <w:r>
              <w:rPr>
                <w:rFonts w:hint="eastAsia" w:ascii="宋体" w:hAnsi="宋体"/>
                <w:szCs w:val="21"/>
              </w:rPr>
              <w:t>□满足 □不满足</w:t>
            </w:r>
          </w:p>
        </w:tc>
      </w:tr>
      <w:tr w14:paraId="18360E12">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8EF2024">
            <w:pPr>
              <w:ind w:left="40" w:leftChars="19" w:right="141" w:rightChars="67"/>
              <w:jc w:val="center"/>
              <w:rPr>
                <w:rFonts w:hint="eastAsia" w:ascii="宋体" w:hAnsi="宋体"/>
                <w:szCs w:val="21"/>
              </w:rPr>
            </w:pPr>
            <w:r>
              <w:rPr>
                <w:rFonts w:ascii="宋体" w:hAnsi="宋体"/>
                <w:szCs w:val="21"/>
              </w:rPr>
              <w:t>8</w:t>
            </w:r>
          </w:p>
        </w:tc>
        <w:tc>
          <w:tcPr>
            <w:tcW w:w="6409" w:type="dxa"/>
            <w:tcBorders>
              <w:top w:val="single" w:color="auto" w:sz="4" w:space="0"/>
              <w:left w:val="single" w:color="auto" w:sz="4" w:space="0"/>
              <w:bottom w:val="single" w:color="auto" w:sz="4" w:space="0"/>
              <w:right w:val="single" w:color="auto" w:sz="4" w:space="0"/>
            </w:tcBorders>
            <w:vAlign w:val="center"/>
          </w:tcPr>
          <w:p w14:paraId="1D95FF5B">
            <w:pPr>
              <w:ind w:left="40" w:leftChars="19" w:right="141" w:rightChars="67"/>
              <w:rPr>
                <w:rFonts w:hint="eastAsia" w:ascii="宋体" w:hAnsi="宋体"/>
                <w:szCs w:val="21"/>
              </w:rPr>
            </w:pPr>
            <w:r>
              <w:rPr>
                <w:rFonts w:hint="eastAsia" w:ascii="宋体" w:hAnsi="宋体"/>
                <w:szCs w:val="21"/>
              </w:rPr>
              <w:t>加星号（★）条款满足要求</w:t>
            </w:r>
          </w:p>
        </w:tc>
        <w:tc>
          <w:tcPr>
            <w:tcW w:w="2127" w:type="dxa"/>
            <w:tcBorders>
              <w:top w:val="single" w:color="auto" w:sz="4" w:space="0"/>
              <w:left w:val="nil"/>
              <w:bottom w:val="single" w:color="auto" w:sz="4" w:space="0"/>
              <w:right w:val="single" w:color="auto" w:sz="4" w:space="0"/>
            </w:tcBorders>
            <w:vAlign w:val="center"/>
          </w:tcPr>
          <w:p w14:paraId="00DF3A2A">
            <w:pPr>
              <w:ind w:left="-171"/>
              <w:jc w:val="center"/>
              <w:rPr>
                <w:rFonts w:hint="eastAsia" w:ascii="宋体" w:hAnsi="宋体"/>
                <w:szCs w:val="21"/>
              </w:rPr>
            </w:pPr>
            <w:r>
              <w:rPr>
                <w:rFonts w:hint="eastAsia" w:ascii="宋体" w:hAnsi="宋体"/>
                <w:szCs w:val="21"/>
              </w:rPr>
              <w:t>□满足 □不满足</w:t>
            </w:r>
          </w:p>
        </w:tc>
      </w:tr>
      <w:tr w14:paraId="2920E851">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021ED3AA">
            <w:pPr>
              <w:ind w:left="40" w:leftChars="19" w:right="141" w:rightChars="67"/>
              <w:jc w:val="center"/>
              <w:rPr>
                <w:rFonts w:hint="eastAsia" w:ascii="宋体" w:hAnsi="宋体"/>
                <w:szCs w:val="21"/>
              </w:rPr>
            </w:pPr>
            <w:r>
              <w:rPr>
                <w:rFonts w:ascii="宋体" w:hAnsi="宋体"/>
                <w:szCs w:val="21"/>
              </w:rPr>
              <w:t>9</w:t>
            </w:r>
          </w:p>
        </w:tc>
        <w:tc>
          <w:tcPr>
            <w:tcW w:w="6409" w:type="dxa"/>
            <w:tcBorders>
              <w:top w:val="single" w:color="auto" w:sz="4" w:space="0"/>
              <w:left w:val="single" w:color="auto" w:sz="4" w:space="0"/>
              <w:bottom w:val="single" w:color="auto" w:sz="4" w:space="0"/>
              <w:right w:val="single" w:color="auto" w:sz="4" w:space="0"/>
            </w:tcBorders>
            <w:vAlign w:val="center"/>
          </w:tcPr>
          <w:p w14:paraId="1B0902CF">
            <w:pPr>
              <w:ind w:left="40" w:leftChars="19" w:right="141" w:rightChars="67"/>
              <w:rPr>
                <w:rFonts w:hint="eastAsia" w:ascii="宋体" w:hAnsi="宋体"/>
                <w:szCs w:val="21"/>
              </w:rPr>
            </w:pPr>
            <w:r>
              <w:rPr>
                <w:rFonts w:hint="eastAsia" w:ascii="宋体" w:hAnsi="宋体"/>
                <w:szCs w:val="21"/>
              </w:rPr>
              <w:t>投标文件没有招标人不能接受的附加条件</w:t>
            </w:r>
          </w:p>
        </w:tc>
        <w:tc>
          <w:tcPr>
            <w:tcW w:w="2127" w:type="dxa"/>
            <w:tcBorders>
              <w:top w:val="single" w:color="auto" w:sz="4" w:space="0"/>
              <w:left w:val="nil"/>
              <w:bottom w:val="single" w:color="auto" w:sz="4" w:space="0"/>
              <w:right w:val="single" w:color="auto" w:sz="4" w:space="0"/>
            </w:tcBorders>
            <w:vAlign w:val="center"/>
          </w:tcPr>
          <w:p w14:paraId="061BB66F">
            <w:pPr>
              <w:ind w:left="-171"/>
              <w:jc w:val="center"/>
              <w:rPr>
                <w:rFonts w:hint="eastAsia" w:ascii="宋体" w:hAnsi="宋体"/>
                <w:szCs w:val="21"/>
              </w:rPr>
            </w:pPr>
            <w:r>
              <w:rPr>
                <w:rFonts w:hint="eastAsia" w:ascii="宋体" w:hAnsi="宋体"/>
                <w:szCs w:val="21"/>
              </w:rPr>
              <w:t>□满足 □不满足</w:t>
            </w:r>
          </w:p>
        </w:tc>
      </w:tr>
      <w:tr w14:paraId="5FB3655F">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AB429E2">
            <w:pPr>
              <w:ind w:left="40" w:leftChars="19" w:right="141" w:rightChars="67"/>
              <w:jc w:val="center"/>
              <w:rPr>
                <w:rFonts w:hint="eastAsia" w:ascii="宋体" w:hAnsi="宋体"/>
                <w:szCs w:val="21"/>
              </w:rPr>
            </w:pPr>
            <w:r>
              <w:rPr>
                <w:rFonts w:ascii="宋体" w:hAnsi="宋体"/>
                <w:szCs w:val="21"/>
              </w:rPr>
              <w:t>10</w:t>
            </w:r>
          </w:p>
        </w:tc>
        <w:tc>
          <w:tcPr>
            <w:tcW w:w="6409" w:type="dxa"/>
            <w:tcBorders>
              <w:top w:val="single" w:color="auto" w:sz="4" w:space="0"/>
              <w:left w:val="single" w:color="auto" w:sz="4" w:space="0"/>
              <w:bottom w:val="single" w:color="auto" w:sz="4" w:space="0"/>
              <w:right w:val="single" w:color="auto" w:sz="4" w:space="0"/>
            </w:tcBorders>
            <w:vAlign w:val="center"/>
          </w:tcPr>
          <w:p w14:paraId="5ABE0B20">
            <w:pPr>
              <w:ind w:left="40" w:leftChars="19" w:right="141" w:rightChars="67"/>
              <w:rPr>
                <w:rFonts w:hint="eastAsia" w:ascii="宋体" w:hAnsi="宋体"/>
                <w:szCs w:val="21"/>
              </w:rPr>
            </w:pPr>
            <w:r>
              <w:rPr>
                <w:rFonts w:hint="eastAsia" w:ascii="宋体" w:hAnsi="宋体"/>
                <w:szCs w:val="21"/>
              </w:rPr>
              <w:t>无法规明确规定须废标的或招标文件禁止的情形</w:t>
            </w:r>
          </w:p>
        </w:tc>
        <w:tc>
          <w:tcPr>
            <w:tcW w:w="2127" w:type="dxa"/>
            <w:tcBorders>
              <w:top w:val="single" w:color="auto" w:sz="4" w:space="0"/>
              <w:left w:val="nil"/>
              <w:bottom w:val="single" w:color="auto" w:sz="4" w:space="0"/>
              <w:right w:val="single" w:color="auto" w:sz="4" w:space="0"/>
            </w:tcBorders>
            <w:vAlign w:val="center"/>
          </w:tcPr>
          <w:p w14:paraId="0951453B">
            <w:pPr>
              <w:ind w:left="-171"/>
              <w:jc w:val="center"/>
              <w:rPr>
                <w:rFonts w:hint="eastAsia" w:ascii="宋体" w:hAnsi="宋体"/>
                <w:szCs w:val="21"/>
              </w:rPr>
            </w:pPr>
            <w:r>
              <w:rPr>
                <w:rFonts w:hint="eastAsia" w:ascii="宋体" w:hAnsi="宋体"/>
                <w:szCs w:val="21"/>
              </w:rPr>
              <w:t>□满足 □不满足</w:t>
            </w:r>
          </w:p>
        </w:tc>
      </w:tr>
    </w:tbl>
    <w:p w14:paraId="0A825C93">
      <w:pPr>
        <w:spacing w:after="120" w:line="360" w:lineRule="exact"/>
        <w:rPr>
          <w:szCs w:val="21"/>
        </w:rPr>
      </w:pPr>
      <w:r>
        <w:rPr>
          <w:rFonts w:hint="eastAsia"/>
          <w:szCs w:val="21"/>
        </w:rPr>
        <w:t>注：以上材料将作为投标人合格性和有效性审核的重要内容之一，投标人必须严格按照其内容及序列要求在投标文件中对应如实提供，对缺漏和不符合项将会直接导致无效投标！在对应的□打“√”。</w:t>
      </w:r>
    </w:p>
    <w:p w14:paraId="40902705">
      <w:pPr>
        <w:adjustRightInd w:val="0"/>
        <w:snapToGrid w:val="0"/>
        <w:spacing w:line="300" w:lineRule="auto"/>
        <w:rPr>
          <w:szCs w:val="21"/>
        </w:rPr>
      </w:pPr>
    </w:p>
    <w:p w14:paraId="0BBBD819">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57567221">
      <w:pPr>
        <w:spacing w:after="120" w:line="360" w:lineRule="exact"/>
        <w:jc w:val="left"/>
        <w:rPr>
          <w:szCs w:val="21"/>
        </w:rPr>
      </w:pPr>
      <w:r>
        <w:rPr>
          <w:rFonts w:hint="eastAsia"/>
          <w:szCs w:val="21"/>
        </w:rPr>
        <w:t>日期：   年   月   日</w:t>
      </w:r>
    </w:p>
    <w:p w14:paraId="2070C614">
      <w:pPr>
        <w:spacing w:after="120" w:line="360" w:lineRule="exact"/>
        <w:rPr>
          <w:szCs w:val="21"/>
        </w:rPr>
      </w:pPr>
    </w:p>
    <w:p w14:paraId="24AB3BFB">
      <w:pPr>
        <w:spacing w:after="120" w:line="360" w:lineRule="exact"/>
        <w:rPr>
          <w:szCs w:val="21"/>
        </w:rPr>
      </w:pPr>
    </w:p>
    <w:p w14:paraId="68793DCA">
      <w:pPr>
        <w:keepNext/>
        <w:keepLines/>
        <w:adjustRightInd w:val="0"/>
        <w:snapToGrid w:val="0"/>
        <w:spacing w:before="280" w:after="290"/>
        <w:outlineLvl w:val="3"/>
        <w:rPr>
          <w:rFonts w:ascii="Times New Roman" w:hAnsi="Times New Roman"/>
          <w:b/>
          <w:bCs/>
          <w:kern w:val="0"/>
          <w:sz w:val="32"/>
          <w:szCs w:val="32"/>
        </w:rPr>
      </w:pPr>
      <w:r>
        <w:rPr>
          <w:sz w:val="24"/>
          <w:szCs w:val="24"/>
        </w:rPr>
        <w:br w:type="page"/>
      </w:r>
    </w:p>
    <w:p w14:paraId="7EBD1AD9">
      <w:pPr>
        <w:keepNext/>
        <w:keepLines/>
        <w:widowControl/>
        <w:spacing w:after="156" w:afterLines="50" w:line="413" w:lineRule="auto"/>
        <w:outlineLvl w:val="1"/>
        <w:rPr>
          <w:rFonts w:ascii="Times New Roman" w:hAnsi="Times New Roman"/>
          <w:b/>
          <w:bCs/>
          <w:kern w:val="0"/>
          <w:sz w:val="32"/>
          <w:szCs w:val="32"/>
        </w:rPr>
      </w:pPr>
      <w:r>
        <w:rPr>
          <w:rFonts w:hint="eastAsia" w:ascii="Times New Roman" w:hAnsi="Times New Roman"/>
          <w:b/>
          <w:bCs/>
          <w:kern w:val="0"/>
          <w:sz w:val="32"/>
          <w:szCs w:val="32"/>
        </w:rPr>
        <w:t>二、投标报价表</w:t>
      </w:r>
    </w:p>
    <w:p w14:paraId="1C94AB8D">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2.1 投标报价表-子项一（公共区域办公家具）</w:t>
      </w:r>
    </w:p>
    <w:p w14:paraId="32AEFC44">
      <w:pPr>
        <w:widowControl/>
        <w:adjustRightInd w:val="0"/>
        <w:snapToGrid w:val="0"/>
        <w:spacing w:line="360" w:lineRule="auto"/>
        <w:ind w:right="-32"/>
        <w:jc w:val="left"/>
        <w:rPr>
          <w:rFonts w:hint="eastAsia" w:ascii="宋体" w:hAnsi="宋体"/>
          <w:kern w:val="0"/>
          <w:szCs w:val="21"/>
        </w:rPr>
      </w:pPr>
      <w:r>
        <w:rPr>
          <w:rFonts w:hint="eastAsia" w:ascii="宋体" w:hAnsi="宋体"/>
          <w:kern w:val="0"/>
          <w:szCs w:val="21"/>
        </w:rPr>
        <w:t>项目名称：</w:t>
      </w:r>
    </w:p>
    <w:p w14:paraId="7A94FA23">
      <w:pPr>
        <w:widowControl/>
        <w:adjustRightInd w:val="0"/>
        <w:snapToGrid w:val="0"/>
        <w:spacing w:line="360" w:lineRule="auto"/>
        <w:ind w:right="-32"/>
        <w:jc w:val="left"/>
        <w:rPr>
          <w:rFonts w:hint="eastAsia" w:ascii="宋体" w:hAnsi="宋体"/>
          <w:kern w:val="0"/>
          <w:szCs w:val="21"/>
        </w:rPr>
      </w:pPr>
      <w:r>
        <w:rPr>
          <w:rFonts w:hint="eastAsia" w:ascii="宋体" w:hAnsi="宋体"/>
          <w:kern w:val="0"/>
          <w:szCs w:val="21"/>
        </w:rPr>
        <w:t>招标编号：</w:t>
      </w:r>
    </w:p>
    <w:tbl>
      <w:tblPr>
        <w:tblStyle w:val="22"/>
        <w:tblW w:w="9631" w:type="dxa"/>
        <w:jc w:val="center"/>
        <w:tblLayout w:type="fixed"/>
        <w:tblCellMar>
          <w:top w:w="0" w:type="dxa"/>
          <w:left w:w="30" w:type="dxa"/>
          <w:bottom w:w="0" w:type="dxa"/>
          <w:right w:w="30" w:type="dxa"/>
        </w:tblCellMar>
      </w:tblPr>
      <w:tblGrid>
        <w:gridCol w:w="3523"/>
        <w:gridCol w:w="6108"/>
      </w:tblGrid>
      <w:tr w14:paraId="4D173F3B">
        <w:trPr>
          <w:cantSplit/>
          <w:trHeight w:val="737" w:hRule="atLeast"/>
          <w:jc w:val="center"/>
        </w:trPr>
        <w:tc>
          <w:tcPr>
            <w:tcW w:w="3523" w:type="dxa"/>
            <w:tcBorders>
              <w:top w:val="single" w:color="auto" w:sz="6" w:space="0"/>
              <w:left w:val="single" w:color="auto" w:sz="6" w:space="0"/>
              <w:bottom w:val="nil"/>
              <w:right w:val="single" w:color="auto" w:sz="6" w:space="0"/>
            </w:tcBorders>
            <w:vAlign w:val="center"/>
          </w:tcPr>
          <w:p w14:paraId="2A1EED67">
            <w:pPr>
              <w:autoSpaceDE w:val="0"/>
              <w:autoSpaceDN w:val="0"/>
              <w:adjustRightInd w:val="0"/>
              <w:ind w:right="-32"/>
              <w:jc w:val="center"/>
              <w:rPr>
                <w:rFonts w:hint="eastAsia" w:ascii="宋体" w:hAnsi="宋体"/>
                <w:b/>
                <w:szCs w:val="21"/>
              </w:rPr>
            </w:pPr>
            <w:r>
              <w:rPr>
                <w:rFonts w:hint="eastAsia" w:ascii="宋体" w:hAnsi="宋体"/>
                <w:b/>
                <w:szCs w:val="21"/>
              </w:rPr>
              <w:t>报价</w:t>
            </w:r>
          </w:p>
        </w:tc>
        <w:tc>
          <w:tcPr>
            <w:tcW w:w="6108" w:type="dxa"/>
            <w:tcBorders>
              <w:top w:val="single" w:color="auto" w:sz="6" w:space="0"/>
              <w:left w:val="single" w:color="auto" w:sz="6" w:space="0"/>
              <w:bottom w:val="single" w:color="auto" w:sz="6" w:space="0"/>
              <w:right w:val="single" w:color="auto" w:sz="6" w:space="0"/>
            </w:tcBorders>
            <w:vAlign w:val="center"/>
          </w:tcPr>
          <w:p w14:paraId="241BB266">
            <w:pPr>
              <w:autoSpaceDE w:val="0"/>
              <w:autoSpaceDN w:val="0"/>
              <w:adjustRightInd w:val="0"/>
              <w:ind w:right="-32"/>
              <w:jc w:val="center"/>
              <w:rPr>
                <w:rFonts w:hint="eastAsia" w:ascii="宋体" w:hAnsi="宋体"/>
                <w:b/>
                <w:szCs w:val="21"/>
              </w:rPr>
            </w:pPr>
            <w:r>
              <w:rPr>
                <w:rFonts w:hint="eastAsia" w:ascii="宋体" w:hAnsi="宋体"/>
                <w:b/>
                <w:szCs w:val="21"/>
              </w:rPr>
              <w:t>投标报价（含税，元）</w:t>
            </w:r>
          </w:p>
        </w:tc>
      </w:tr>
      <w:tr w14:paraId="1D91F5AF">
        <w:tblPrEx>
          <w:tblCellMar>
            <w:top w:w="0" w:type="dxa"/>
            <w:left w:w="30" w:type="dxa"/>
            <w:bottom w:w="0" w:type="dxa"/>
            <w:right w:w="30" w:type="dxa"/>
          </w:tblCellMar>
        </w:tblPrEx>
        <w:trPr>
          <w:cantSplit/>
          <w:trHeight w:val="851" w:hRule="atLeast"/>
          <w:jc w:val="center"/>
        </w:trPr>
        <w:tc>
          <w:tcPr>
            <w:tcW w:w="3523" w:type="dxa"/>
            <w:tcBorders>
              <w:top w:val="single" w:color="auto" w:sz="6" w:space="0"/>
              <w:left w:val="single" w:color="auto" w:sz="6" w:space="0"/>
              <w:bottom w:val="single" w:color="auto" w:sz="6" w:space="0"/>
              <w:right w:val="single" w:color="auto" w:sz="6" w:space="0"/>
            </w:tcBorders>
            <w:vAlign w:val="center"/>
          </w:tcPr>
          <w:p w14:paraId="4CA5EE76">
            <w:pPr>
              <w:autoSpaceDE w:val="0"/>
              <w:autoSpaceDN w:val="0"/>
              <w:adjustRightInd w:val="0"/>
              <w:snapToGrid w:val="0"/>
              <w:ind w:right="-32"/>
              <w:jc w:val="center"/>
              <w:rPr>
                <w:rFonts w:hint="eastAsia" w:ascii="宋体" w:hAnsi="宋体"/>
                <w:b/>
                <w:szCs w:val="21"/>
              </w:rPr>
            </w:pPr>
            <w:r>
              <w:rPr>
                <w:rFonts w:hint="eastAsia" w:ascii="宋体" w:hAnsi="宋体"/>
                <w:b/>
                <w:szCs w:val="21"/>
              </w:rPr>
              <w:t>投标价</w:t>
            </w:r>
            <w:r>
              <w:rPr>
                <w:rFonts w:ascii="宋体" w:hAnsi="宋体"/>
                <w:b/>
                <w:szCs w:val="21"/>
              </w:rPr>
              <w:br w:type="textWrapping"/>
            </w:r>
          </w:p>
        </w:tc>
        <w:tc>
          <w:tcPr>
            <w:tcW w:w="6108" w:type="dxa"/>
            <w:tcBorders>
              <w:top w:val="single" w:color="auto" w:sz="6" w:space="0"/>
              <w:left w:val="single" w:color="auto" w:sz="6" w:space="0"/>
              <w:bottom w:val="single" w:color="auto" w:sz="6" w:space="0"/>
              <w:right w:val="single" w:color="auto" w:sz="6" w:space="0"/>
            </w:tcBorders>
            <w:vAlign w:val="center"/>
          </w:tcPr>
          <w:p w14:paraId="7503F9B2">
            <w:pPr>
              <w:autoSpaceDE w:val="0"/>
              <w:autoSpaceDN w:val="0"/>
              <w:adjustRightInd w:val="0"/>
              <w:ind w:right="-32"/>
              <w:rPr>
                <w:b/>
                <w:bCs/>
                <w:szCs w:val="24"/>
              </w:rPr>
            </w:pPr>
            <w:r>
              <w:rPr>
                <w:rFonts w:hint="eastAsia"/>
                <w:b/>
                <w:bCs/>
                <w:szCs w:val="24"/>
              </w:rPr>
              <w:t>大写：</w:t>
            </w:r>
          </w:p>
          <w:p w14:paraId="20EF0B38">
            <w:pPr>
              <w:autoSpaceDE w:val="0"/>
              <w:autoSpaceDN w:val="0"/>
              <w:adjustRightInd w:val="0"/>
              <w:ind w:right="-32"/>
              <w:rPr>
                <w:b/>
                <w:bCs/>
                <w:szCs w:val="24"/>
              </w:rPr>
            </w:pPr>
            <w:r>
              <w:rPr>
                <w:rFonts w:hint="eastAsia" w:ascii="宋体" w:hAnsi="宋体"/>
                <w:b/>
                <w:bCs/>
                <w:szCs w:val="21"/>
                <w:lang w:val="zh-CN"/>
              </w:rPr>
              <w:t>小写：</w:t>
            </w:r>
          </w:p>
        </w:tc>
      </w:tr>
      <w:tr w14:paraId="4FF8CB52">
        <w:tblPrEx>
          <w:tblCellMar>
            <w:top w:w="0" w:type="dxa"/>
            <w:left w:w="30" w:type="dxa"/>
            <w:bottom w:w="0" w:type="dxa"/>
            <w:right w:w="30" w:type="dxa"/>
          </w:tblCellMar>
        </w:tblPrEx>
        <w:trPr>
          <w:cantSplit/>
          <w:trHeight w:val="851" w:hRule="atLeast"/>
          <w:jc w:val="center"/>
        </w:trPr>
        <w:tc>
          <w:tcPr>
            <w:tcW w:w="3523" w:type="dxa"/>
            <w:tcBorders>
              <w:top w:val="single" w:color="auto" w:sz="6" w:space="0"/>
              <w:left w:val="single" w:color="auto" w:sz="6" w:space="0"/>
              <w:bottom w:val="single" w:color="auto" w:sz="6" w:space="0"/>
              <w:right w:val="single" w:color="auto" w:sz="6" w:space="0"/>
            </w:tcBorders>
            <w:vAlign w:val="center"/>
          </w:tcPr>
          <w:p w14:paraId="26527792">
            <w:pPr>
              <w:autoSpaceDE w:val="0"/>
              <w:autoSpaceDN w:val="0"/>
              <w:adjustRightInd w:val="0"/>
              <w:snapToGrid w:val="0"/>
              <w:ind w:right="-32"/>
              <w:jc w:val="center"/>
              <w:rPr>
                <w:rFonts w:hint="eastAsia" w:ascii="宋体" w:hAnsi="宋体"/>
                <w:szCs w:val="21"/>
              </w:rPr>
            </w:pPr>
            <w:r>
              <w:rPr>
                <w:rFonts w:ascii="宋体" w:hAnsi="宋体"/>
                <w:b/>
                <w:szCs w:val="21"/>
              </w:rPr>
              <w:t>增值税税率</w:t>
            </w:r>
            <w:r>
              <w:rPr>
                <w:rFonts w:hint="eastAsia" w:ascii="宋体" w:hAnsi="宋体"/>
                <w:b/>
                <w:szCs w:val="21"/>
              </w:rPr>
              <w:t>（</w:t>
            </w:r>
            <w:r>
              <w:rPr>
                <w:rFonts w:hint="eastAsia" w:ascii="宋体" w:hAnsi="宋体"/>
                <w:szCs w:val="21"/>
              </w:rPr>
              <w:t>%</w:t>
            </w:r>
            <w:r>
              <w:rPr>
                <w:rFonts w:hint="eastAsia" w:ascii="宋体" w:hAnsi="宋体"/>
                <w:b/>
                <w:szCs w:val="21"/>
              </w:rPr>
              <w:t>）</w:t>
            </w:r>
          </w:p>
        </w:tc>
        <w:tc>
          <w:tcPr>
            <w:tcW w:w="6108" w:type="dxa"/>
            <w:tcBorders>
              <w:top w:val="single" w:color="auto" w:sz="6" w:space="0"/>
              <w:left w:val="single" w:color="auto" w:sz="6" w:space="0"/>
              <w:bottom w:val="single" w:color="auto" w:sz="6" w:space="0"/>
              <w:right w:val="single" w:color="auto" w:sz="6" w:space="0"/>
            </w:tcBorders>
            <w:vAlign w:val="center"/>
          </w:tcPr>
          <w:p w14:paraId="486FF9C3">
            <w:pPr>
              <w:autoSpaceDE w:val="0"/>
              <w:autoSpaceDN w:val="0"/>
              <w:adjustRightInd w:val="0"/>
              <w:ind w:right="-32"/>
              <w:rPr>
                <w:rFonts w:hint="eastAsia" w:ascii="宋体" w:hAnsi="宋体"/>
                <w:szCs w:val="21"/>
              </w:rPr>
            </w:pPr>
          </w:p>
        </w:tc>
      </w:tr>
    </w:tbl>
    <w:p w14:paraId="049F8A45">
      <w:pPr>
        <w:snapToGrid w:val="0"/>
        <w:spacing w:line="360" w:lineRule="auto"/>
        <w:ind w:right="-32"/>
        <w:rPr>
          <w:rFonts w:hint="eastAsia" w:ascii="宋体" w:hAnsi="宋体" w:cs="宋体"/>
          <w:kern w:val="0"/>
          <w:szCs w:val="21"/>
        </w:rPr>
      </w:pPr>
      <w:r>
        <w:rPr>
          <w:rFonts w:hint="eastAsia" w:ascii="宋体" w:hAnsi="宋体" w:cs="宋体"/>
          <w:kern w:val="0"/>
          <w:szCs w:val="21"/>
        </w:rPr>
        <w:t>说明：</w:t>
      </w:r>
    </w:p>
    <w:p w14:paraId="3B116DD5">
      <w:pPr>
        <w:snapToGrid w:val="0"/>
        <w:spacing w:line="360" w:lineRule="auto"/>
        <w:ind w:right="-32"/>
        <w:rPr>
          <w:rFonts w:hint="eastAsia" w:ascii="宋体" w:hAnsi="宋体" w:cs="宋体"/>
          <w:kern w:val="0"/>
          <w:szCs w:val="21"/>
        </w:rPr>
      </w:pPr>
      <w:r>
        <w:rPr>
          <w:rFonts w:hint="eastAsia" w:ascii="宋体" w:hAnsi="宋体" w:cs="宋体"/>
          <w:kern w:val="0"/>
          <w:szCs w:val="21"/>
        </w:rPr>
        <w:t>投标价</w:t>
      </w:r>
      <w:r>
        <w:rPr>
          <w:rFonts w:hint="eastAsia" w:hAnsi="宋体"/>
          <w:szCs w:val="24"/>
        </w:rPr>
        <w:t>包含家具</w:t>
      </w:r>
      <w:r>
        <w:rPr>
          <w:rFonts w:hint="eastAsia" w:ascii="宋体" w:hAnsi="宋体" w:cs="宋体"/>
          <w:kern w:val="0"/>
          <w:szCs w:val="21"/>
        </w:rPr>
        <w:t>本体及附配件的设计、制造、包装、运输（运至招标人指定现场）、验收、验收后的实物移交、技术服务（包括设计联络、技术资料、图纸的提供）、指导培训招标人相关工作人员对家具的日常清洁维保、质保期及质保期内维护保养及其他相关服务内容、增值税等。</w:t>
      </w:r>
    </w:p>
    <w:p w14:paraId="3082F3B2">
      <w:pPr>
        <w:snapToGrid w:val="0"/>
        <w:spacing w:line="360" w:lineRule="auto"/>
        <w:ind w:right="-32"/>
        <w:rPr>
          <w:rFonts w:hint="eastAsia" w:ascii="宋体" w:hAnsi="宋体" w:cs="宋体"/>
          <w:kern w:val="0"/>
          <w:szCs w:val="21"/>
        </w:rPr>
      </w:pPr>
    </w:p>
    <w:p w14:paraId="70EC8160">
      <w:pPr>
        <w:widowControl/>
        <w:adjustRightInd w:val="0"/>
        <w:snapToGrid w:val="0"/>
        <w:spacing w:line="360" w:lineRule="auto"/>
        <w:ind w:right="-32"/>
        <w:jc w:val="left"/>
        <w:rPr>
          <w:rFonts w:hint="eastAsia" w:ascii="宋体" w:hAnsi="宋体"/>
          <w:kern w:val="0"/>
          <w:szCs w:val="21"/>
          <w:u w:val="single"/>
        </w:rPr>
      </w:pPr>
      <w:r>
        <w:rPr>
          <w:rFonts w:hint="eastAsia" w:ascii="宋体" w:hAnsi="宋体"/>
          <w:kern w:val="0"/>
          <w:szCs w:val="21"/>
        </w:rPr>
        <w:t>投标人名称：</w:t>
      </w:r>
      <w:r>
        <w:rPr>
          <w:rFonts w:hint="eastAsia" w:ascii="宋体" w:hAnsi="宋体"/>
          <w:kern w:val="0"/>
          <w:szCs w:val="21"/>
          <w:u w:val="single"/>
        </w:rPr>
        <w:t xml:space="preserve">                        </w:t>
      </w:r>
    </w:p>
    <w:p w14:paraId="4BC680A7">
      <w:pPr>
        <w:snapToGrid w:val="0"/>
        <w:spacing w:line="360" w:lineRule="auto"/>
        <w:ind w:right="-32"/>
        <w:rPr>
          <w:rFonts w:hint="eastAsia" w:ascii="华文楷体" w:hAnsi="华文楷体" w:eastAsia="华文楷体" w:cs="宋体"/>
          <w:kern w:val="0"/>
          <w:sz w:val="20"/>
        </w:rPr>
      </w:pPr>
      <w:r>
        <w:rPr>
          <w:rFonts w:hint="eastAsia" w:ascii="宋体" w:hAnsi="宋体"/>
          <w:szCs w:val="21"/>
        </w:rPr>
        <w:t>日期：   年   月   日</w:t>
      </w:r>
    </w:p>
    <w:p w14:paraId="3713B5E1">
      <w:pPr>
        <w:rPr>
          <w:rFonts w:ascii="Times New Roman" w:hAnsi="Times New Roman"/>
          <w:b/>
          <w:bCs/>
          <w:sz w:val="28"/>
          <w:szCs w:val="28"/>
        </w:rPr>
      </w:pPr>
      <w:r>
        <w:rPr>
          <w:rFonts w:hint="eastAsia" w:ascii="Times New Roman" w:hAnsi="Times New Roman"/>
          <w:b/>
          <w:bCs/>
          <w:sz w:val="28"/>
          <w:szCs w:val="28"/>
        </w:rPr>
        <w:t>2.2</w:t>
      </w:r>
      <w:r>
        <w:rPr>
          <w:rFonts w:ascii="Times New Roman" w:hAnsi="Times New Roman"/>
          <w:b/>
          <w:bCs/>
          <w:sz w:val="28"/>
          <w:szCs w:val="28"/>
        </w:rPr>
        <w:t xml:space="preserve"> </w:t>
      </w:r>
      <w:r>
        <w:rPr>
          <w:rFonts w:hint="eastAsia" w:ascii="Times New Roman" w:hAnsi="Times New Roman"/>
          <w:b/>
          <w:bCs/>
          <w:sz w:val="28"/>
          <w:szCs w:val="28"/>
        </w:rPr>
        <w:t>投标报价明细表-（公共区域办公家具）</w:t>
      </w:r>
    </w:p>
    <w:p w14:paraId="30D4B40E">
      <w:pPr>
        <w:rPr>
          <w:rFonts w:hint="eastAsia" w:ascii="宋体" w:hAnsi="宋体" w:cs="宋体"/>
          <w:kern w:val="0"/>
          <w:szCs w:val="21"/>
        </w:rPr>
      </w:pPr>
      <w:r>
        <w:rPr>
          <w:rFonts w:hint="eastAsia" w:ascii="宋体" w:hAnsi="宋体" w:cs="宋体"/>
          <w:kern w:val="0"/>
          <w:szCs w:val="21"/>
        </w:rPr>
        <w:t>（</w:t>
      </w:r>
      <w:r>
        <w:rPr>
          <w:rFonts w:hint="eastAsia" w:ascii="宋体" w:hAnsi="宋体" w:cs="宋体"/>
          <w:b/>
          <w:bCs/>
          <w:kern w:val="0"/>
          <w:szCs w:val="21"/>
        </w:rPr>
        <w:t>报价清单可另附</w:t>
      </w:r>
      <w:r>
        <w:rPr>
          <w:rFonts w:hint="eastAsia" w:ascii="宋体" w:hAnsi="宋体" w:cs="宋体"/>
          <w:kern w:val="0"/>
          <w:szCs w:val="21"/>
        </w:rPr>
        <w:t>）</w:t>
      </w:r>
    </w:p>
    <w:p w14:paraId="7A10B3CA">
      <w:pPr>
        <w:keepNext/>
        <w:keepLines/>
        <w:adjustRightInd w:val="0"/>
        <w:snapToGrid w:val="0"/>
        <w:spacing w:before="280" w:after="290"/>
        <w:outlineLvl w:val="3"/>
        <w:rPr>
          <w:rFonts w:ascii="Times New Roman" w:hAnsi="Times New Roman"/>
          <w:b/>
          <w:bCs/>
          <w:sz w:val="28"/>
          <w:szCs w:val="28"/>
        </w:rPr>
      </w:pPr>
      <w:r>
        <w:rPr>
          <w:sz w:val="24"/>
          <w:szCs w:val="24"/>
        </w:rPr>
        <w:br w:type="page"/>
      </w:r>
    </w:p>
    <w:p w14:paraId="0BE80879">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2.3投标报价表-子项二（广重集团办公家具）</w:t>
      </w:r>
    </w:p>
    <w:p w14:paraId="6AA5CEAB">
      <w:pPr>
        <w:widowControl/>
        <w:adjustRightInd w:val="0"/>
        <w:snapToGrid w:val="0"/>
        <w:spacing w:line="360" w:lineRule="auto"/>
        <w:ind w:right="-32"/>
        <w:jc w:val="left"/>
        <w:rPr>
          <w:rFonts w:hint="eastAsia" w:ascii="宋体" w:hAnsi="宋体"/>
          <w:kern w:val="0"/>
          <w:szCs w:val="21"/>
        </w:rPr>
      </w:pPr>
      <w:r>
        <w:rPr>
          <w:rFonts w:hint="eastAsia" w:ascii="宋体" w:hAnsi="宋体"/>
          <w:kern w:val="0"/>
          <w:szCs w:val="21"/>
        </w:rPr>
        <w:t>项目名称：</w:t>
      </w:r>
    </w:p>
    <w:p w14:paraId="5DF84FEF">
      <w:pPr>
        <w:widowControl/>
        <w:adjustRightInd w:val="0"/>
        <w:snapToGrid w:val="0"/>
        <w:spacing w:line="360" w:lineRule="auto"/>
        <w:ind w:right="-32"/>
        <w:jc w:val="left"/>
        <w:rPr>
          <w:rFonts w:hint="eastAsia" w:ascii="宋体" w:hAnsi="宋体"/>
          <w:kern w:val="0"/>
          <w:szCs w:val="21"/>
        </w:rPr>
      </w:pPr>
      <w:r>
        <w:rPr>
          <w:rFonts w:hint="eastAsia" w:ascii="宋体" w:hAnsi="宋体"/>
          <w:kern w:val="0"/>
          <w:szCs w:val="21"/>
        </w:rPr>
        <w:t>招标编号：</w:t>
      </w:r>
    </w:p>
    <w:tbl>
      <w:tblPr>
        <w:tblStyle w:val="22"/>
        <w:tblW w:w="9631" w:type="dxa"/>
        <w:jc w:val="center"/>
        <w:tblLayout w:type="fixed"/>
        <w:tblCellMar>
          <w:top w:w="0" w:type="dxa"/>
          <w:left w:w="30" w:type="dxa"/>
          <w:bottom w:w="0" w:type="dxa"/>
          <w:right w:w="30" w:type="dxa"/>
        </w:tblCellMar>
      </w:tblPr>
      <w:tblGrid>
        <w:gridCol w:w="3523"/>
        <w:gridCol w:w="6108"/>
      </w:tblGrid>
      <w:tr w14:paraId="30709E5F">
        <w:tblPrEx>
          <w:tblCellMar>
            <w:top w:w="0" w:type="dxa"/>
            <w:left w:w="30" w:type="dxa"/>
            <w:bottom w:w="0" w:type="dxa"/>
            <w:right w:w="30" w:type="dxa"/>
          </w:tblCellMar>
        </w:tblPrEx>
        <w:trPr>
          <w:cantSplit/>
          <w:trHeight w:val="737" w:hRule="atLeast"/>
          <w:jc w:val="center"/>
        </w:trPr>
        <w:tc>
          <w:tcPr>
            <w:tcW w:w="3523" w:type="dxa"/>
            <w:tcBorders>
              <w:top w:val="single" w:color="auto" w:sz="6" w:space="0"/>
              <w:left w:val="single" w:color="auto" w:sz="6" w:space="0"/>
              <w:bottom w:val="nil"/>
              <w:right w:val="single" w:color="auto" w:sz="6" w:space="0"/>
            </w:tcBorders>
            <w:vAlign w:val="center"/>
          </w:tcPr>
          <w:p w14:paraId="3B1A4466">
            <w:pPr>
              <w:autoSpaceDE w:val="0"/>
              <w:autoSpaceDN w:val="0"/>
              <w:adjustRightInd w:val="0"/>
              <w:ind w:right="-32"/>
              <w:jc w:val="center"/>
              <w:rPr>
                <w:rFonts w:hint="eastAsia" w:ascii="宋体" w:hAnsi="宋体"/>
                <w:b/>
                <w:szCs w:val="21"/>
              </w:rPr>
            </w:pPr>
            <w:r>
              <w:rPr>
                <w:rFonts w:hint="eastAsia" w:ascii="宋体" w:hAnsi="宋体"/>
                <w:b/>
                <w:szCs w:val="21"/>
              </w:rPr>
              <w:t>报价</w:t>
            </w:r>
          </w:p>
        </w:tc>
        <w:tc>
          <w:tcPr>
            <w:tcW w:w="6108" w:type="dxa"/>
            <w:tcBorders>
              <w:top w:val="single" w:color="auto" w:sz="6" w:space="0"/>
              <w:left w:val="single" w:color="auto" w:sz="6" w:space="0"/>
              <w:bottom w:val="single" w:color="auto" w:sz="6" w:space="0"/>
              <w:right w:val="single" w:color="auto" w:sz="6" w:space="0"/>
            </w:tcBorders>
            <w:vAlign w:val="center"/>
          </w:tcPr>
          <w:p w14:paraId="6A974D13">
            <w:pPr>
              <w:autoSpaceDE w:val="0"/>
              <w:autoSpaceDN w:val="0"/>
              <w:adjustRightInd w:val="0"/>
              <w:ind w:right="-32"/>
              <w:jc w:val="center"/>
              <w:rPr>
                <w:rFonts w:hint="eastAsia" w:ascii="宋体" w:hAnsi="宋体"/>
                <w:b/>
                <w:szCs w:val="21"/>
              </w:rPr>
            </w:pPr>
            <w:r>
              <w:rPr>
                <w:rFonts w:hint="eastAsia" w:ascii="宋体" w:hAnsi="宋体"/>
                <w:b/>
                <w:szCs w:val="21"/>
              </w:rPr>
              <w:t>投标报价（含税，元）</w:t>
            </w:r>
          </w:p>
        </w:tc>
      </w:tr>
      <w:tr w14:paraId="0D36820B">
        <w:tblPrEx>
          <w:tblCellMar>
            <w:top w:w="0" w:type="dxa"/>
            <w:left w:w="30" w:type="dxa"/>
            <w:bottom w:w="0" w:type="dxa"/>
            <w:right w:w="30" w:type="dxa"/>
          </w:tblCellMar>
        </w:tblPrEx>
        <w:trPr>
          <w:cantSplit/>
          <w:trHeight w:val="851" w:hRule="atLeast"/>
          <w:jc w:val="center"/>
        </w:trPr>
        <w:tc>
          <w:tcPr>
            <w:tcW w:w="3523" w:type="dxa"/>
            <w:tcBorders>
              <w:top w:val="single" w:color="auto" w:sz="6" w:space="0"/>
              <w:left w:val="single" w:color="auto" w:sz="6" w:space="0"/>
              <w:bottom w:val="single" w:color="auto" w:sz="6" w:space="0"/>
              <w:right w:val="single" w:color="auto" w:sz="6" w:space="0"/>
            </w:tcBorders>
            <w:vAlign w:val="center"/>
          </w:tcPr>
          <w:p w14:paraId="0CB25F79">
            <w:pPr>
              <w:autoSpaceDE w:val="0"/>
              <w:autoSpaceDN w:val="0"/>
              <w:adjustRightInd w:val="0"/>
              <w:snapToGrid w:val="0"/>
              <w:ind w:right="-32"/>
              <w:jc w:val="center"/>
              <w:rPr>
                <w:rFonts w:hint="eastAsia" w:ascii="宋体" w:hAnsi="宋体"/>
                <w:b/>
                <w:szCs w:val="21"/>
              </w:rPr>
            </w:pPr>
            <w:r>
              <w:rPr>
                <w:rFonts w:hint="eastAsia" w:ascii="宋体" w:hAnsi="宋体"/>
                <w:b/>
                <w:szCs w:val="21"/>
              </w:rPr>
              <w:t>投标价</w:t>
            </w:r>
            <w:r>
              <w:rPr>
                <w:rFonts w:ascii="宋体" w:hAnsi="宋体"/>
                <w:b/>
                <w:szCs w:val="21"/>
              </w:rPr>
              <w:br w:type="textWrapping"/>
            </w:r>
          </w:p>
        </w:tc>
        <w:tc>
          <w:tcPr>
            <w:tcW w:w="6108" w:type="dxa"/>
            <w:tcBorders>
              <w:top w:val="single" w:color="auto" w:sz="6" w:space="0"/>
              <w:left w:val="single" w:color="auto" w:sz="6" w:space="0"/>
              <w:bottom w:val="single" w:color="auto" w:sz="6" w:space="0"/>
              <w:right w:val="single" w:color="auto" w:sz="6" w:space="0"/>
            </w:tcBorders>
            <w:vAlign w:val="center"/>
          </w:tcPr>
          <w:p w14:paraId="6B7B4E0B">
            <w:pPr>
              <w:autoSpaceDE w:val="0"/>
              <w:autoSpaceDN w:val="0"/>
              <w:adjustRightInd w:val="0"/>
              <w:ind w:right="-32"/>
              <w:rPr>
                <w:b/>
                <w:bCs/>
                <w:szCs w:val="24"/>
              </w:rPr>
            </w:pPr>
            <w:r>
              <w:rPr>
                <w:rFonts w:hint="eastAsia"/>
                <w:b/>
                <w:bCs/>
                <w:szCs w:val="24"/>
              </w:rPr>
              <w:t>大写：</w:t>
            </w:r>
          </w:p>
          <w:p w14:paraId="259CBC85">
            <w:pPr>
              <w:autoSpaceDE w:val="0"/>
              <w:autoSpaceDN w:val="0"/>
              <w:adjustRightInd w:val="0"/>
              <w:ind w:right="-32"/>
              <w:rPr>
                <w:b/>
                <w:bCs/>
                <w:szCs w:val="24"/>
              </w:rPr>
            </w:pPr>
            <w:r>
              <w:rPr>
                <w:rFonts w:hint="eastAsia" w:ascii="宋体" w:hAnsi="宋体"/>
                <w:b/>
                <w:bCs/>
                <w:szCs w:val="21"/>
                <w:lang w:val="zh-CN"/>
              </w:rPr>
              <w:t>小写：</w:t>
            </w:r>
          </w:p>
        </w:tc>
      </w:tr>
      <w:tr w14:paraId="4C71E62C">
        <w:tblPrEx>
          <w:tblCellMar>
            <w:top w:w="0" w:type="dxa"/>
            <w:left w:w="30" w:type="dxa"/>
            <w:bottom w:w="0" w:type="dxa"/>
            <w:right w:w="30" w:type="dxa"/>
          </w:tblCellMar>
        </w:tblPrEx>
        <w:trPr>
          <w:cantSplit/>
          <w:trHeight w:val="851" w:hRule="atLeast"/>
          <w:jc w:val="center"/>
        </w:trPr>
        <w:tc>
          <w:tcPr>
            <w:tcW w:w="3523" w:type="dxa"/>
            <w:tcBorders>
              <w:top w:val="single" w:color="auto" w:sz="6" w:space="0"/>
              <w:left w:val="single" w:color="auto" w:sz="6" w:space="0"/>
              <w:bottom w:val="single" w:color="auto" w:sz="6" w:space="0"/>
              <w:right w:val="single" w:color="auto" w:sz="6" w:space="0"/>
            </w:tcBorders>
            <w:vAlign w:val="center"/>
          </w:tcPr>
          <w:p w14:paraId="565365DC">
            <w:pPr>
              <w:autoSpaceDE w:val="0"/>
              <w:autoSpaceDN w:val="0"/>
              <w:adjustRightInd w:val="0"/>
              <w:snapToGrid w:val="0"/>
              <w:ind w:right="-32"/>
              <w:jc w:val="center"/>
              <w:rPr>
                <w:rFonts w:hint="eastAsia" w:ascii="宋体" w:hAnsi="宋体"/>
                <w:szCs w:val="21"/>
              </w:rPr>
            </w:pPr>
            <w:r>
              <w:rPr>
                <w:rFonts w:ascii="宋体" w:hAnsi="宋体"/>
                <w:b/>
                <w:szCs w:val="21"/>
              </w:rPr>
              <w:t>增值税税率</w:t>
            </w:r>
            <w:r>
              <w:rPr>
                <w:rFonts w:hint="eastAsia" w:ascii="宋体" w:hAnsi="宋体"/>
                <w:b/>
                <w:szCs w:val="21"/>
              </w:rPr>
              <w:t>（</w:t>
            </w:r>
            <w:r>
              <w:rPr>
                <w:rFonts w:hint="eastAsia" w:ascii="宋体" w:hAnsi="宋体"/>
                <w:szCs w:val="21"/>
              </w:rPr>
              <w:t>%</w:t>
            </w:r>
            <w:r>
              <w:rPr>
                <w:rFonts w:hint="eastAsia" w:ascii="宋体" w:hAnsi="宋体"/>
                <w:b/>
                <w:szCs w:val="21"/>
              </w:rPr>
              <w:t>）</w:t>
            </w:r>
          </w:p>
        </w:tc>
        <w:tc>
          <w:tcPr>
            <w:tcW w:w="6108" w:type="dxa"/>
            <w:tcBorders>
              <w:top w:val="single" w:color="auto" w:sz="6" w:space="0"/>
              <w:left w:val="single" w:color="auto" w:sz="6" w:space="0"/>
              <w:bottom w:val="single" w:color="auto" w:sz="6" w:space="0"/>
              <w:right w:val="single" w:color="auto" w:sz="6" w:space="0"/>
            </w:tcBorders>
            <w:vAlign w:val="center"/>
          </w:tcPr>
          <w:p w14:paraId="115B4235">
            <w:pPr>
              <w:autoSpaceDE w:val="0"/>
              <w:autoSpaceDN w:val="0"/>
              <w:adjustRightInd w:val="0"/>
              <w:ind w:right="-32"/>
              <w:rPr>
                <w:rFonts w:hint="eastAsia" w:ascii="宋体" w:hAnsi="宋体"/>
                <w:szCs w:val="21"/>
              </w:rPr>
            </w:pPr>
          </w:p>
        </w:tc>
      </w:tr>
    </w:tbl>
    <w:p w14:paraId="27B625A3">
      <w:pPr>
        <w:snapToGrid w:val="0"/>
        <w:spacing w:line="360" w:lineRule="auto"/>
        <w:ind w:right="-32"/>
        <w:rPr>
          <w:rFonts w:hint="eastAsia" w:ascii="宋体" w:hAnsi="宋体" w:cs="宋体"/>
          <w:kern w:val="0"/>
          <w:szCs w:val="21"/>
        </w:rPr>
      </w:pPr>
      <w:r>
        <w:rPr>
          <w:rFonts w:hint="eastAsia" w:ascii="宋体" w:hAnsi="宋体" w:cs="宋体"/>
          <w:kern w:val="0"/>
          <w:szCs w:val="21"/>
        </w:rPr>
        <w:t>说明：</w:t>
      </w:r>
    </w:p>
    <w:p w14:paraId="4480EE2A">
      <w:pPr>
        <w:snapToGrid w:val="0"/>
        <w:spacing w:line="360" w:lineRule="auto"/>
        <w:ind w:right="-32"/>
        <w:rPr>
          <w:rFonts w:hint="eastAsia" w:ascii="宋体" w:hAnsi="宋体" w:cs="宋体"/>
          <w:kern w:val="0"/>
          <w:szCs w:val="21"/>
        </w:rPr>
      </w:pPr>
      <w:r>
        <w:rPr>
          <w:rFonts w:hint="eastAsia" w:ascii="宋体" w:hAnsi="宋体" w:cs="宋体"/>
          <w:kern w:val="0"/>
          <w:szCs w:val="21"/>
        </w:rPr>
        <w:t>投标价</w:t>
      </w:r>
      <w:r>
        <w:rPr>
          <w:rFonts w:hint="eastAsia" w:hAnsi="宋体"/>
          <w:szCs w:val="24"/>
        </w:rPr>
        <w:t>包含家具</w:t>
      </w:r>
      <w:r>
        <w:rPr>
          <w:rFonts w:hint="eastAsia" w:ascii="宋体" w:hAnsi="宋体" w:cs="宋体"/>
          <w:kern w:val="0"/>
          <w:szCs w:val="21"/>
        </w:rPr>
        <w:t>本体及附配件的设计、制造、包装、运输（运至招标人指定现场）、验收、验收后的实物移交、技术服务（包括设计联络、技术资料、图纸的提供）、指导培训招标人相关工作人员对家具的日常清洁维保、质保期及质保期内维护保养及其他相关服务内容、增值税等。</w:t>
      </w:r>
    </w:p>
    <w:p w14:paraId="09733A3C">
      <w:pPr>
        <w:snapToGrid w:val="0"/>
        <w:spacing w:line="360" w:lineRule="auto"/>
        <w:ind w:right="-32"/>
        <w:rPr>
          <w:rFonts w:hint="eastAsia" w:ascii="宋体" w:hAnsi="宋体" w:cs="宋体"/>
          <w:kern w:val="0"/>
          <w:szCs w:val="21"/>
        </w:rPr>
      </w:pPr>
    </w:p>
    <w:p w14:paraId="6AF46DF4">
      <w:pPr>
        <w:widowControl/>
        <w:adjustRightInd w:val="0"/>
        <w:snapToGrid w:val="0"/>
        <w:spacing w:line="360" w:lineRule="auto"/>
        <w:ind w:right="-32"/>
        <w:jc w:val="left"/>
        <w:rPr>
          <w:rFonts w:hint="eastAsia" w:ascii="宋体" w:hAnsi="宋体"/>
          <w:kern w:val="0"/>
          <w:szCs w:val="21"/>
          <w:u w:val="single"/>
        </w:rPr>
      </w:pPr>
      <w:r>
        <w:rPr>
          <w:rFonts w:hint="eastAsia" w:ascii="宋体" w:hAnsi="宋体"/>
          <w:kern w:val="0"/>
          <w:szCs w:val="21"/>
        </w:rPr>
        <w:t>投标人名称：</w:t>
      </w:r>
      <w:r>
        <w:rPr>
          <w:rFonts w:hint="eastAsia" w:ascii="宋体" w:hAnsi="宋体"/>
          <w:kern w:val="0"/>
          <w:szCs w:val="21"/>
          <w:u w:val="single"/>
        </w:rPr>
        <w:t xml:space="preserve">                        </w:t>
      </w:r>
    </w:p>
    <w:p w14:paraId="0757E850">
      <w:pPr>
        <w:snapToGrid w:val="0"/>
        <w:spacing w:line="360" w:lineRule="auto"/>
        <w:ind w:right="-32"/>
        <w:rPr>
          <w:rFonts w:hint="eastAsia" w:ascii="华文楷体" w:hAnsi="华文楷体" w:eastAsia="华文楷体" w:cs="宋体"/>
          <w:kern w:val="0"/>
          <w:sz w:val="20"/>
        </w:rPr>
      </w:pPr>
      <w:r>
        <w:rPr>
          <w:rFonts w:hint="eastAsia" w:ascii="宋体" w:hAnsi="宋体"/>
          <w:szCs w:val="21"/>
        </w:rPr>
        <w:t>日期：   年   月   日</w:t>
      </w:r>
    </w:p>
    <w:p w14:paraId="76BDAC56">
      <w:pPr>
        <w:keepNext/>
        <w:keepLines/>
        <w:adjustRightInd w:val="0"/>
        <w:snapToGrid w:val="0"/>
        <w:spacing w:before="280" w:after="290"/>
        <w:outlineLvl w:val="3"/>
        <w:rPr>
          <w:rFonts w:ascii="Times New Roman" w:hAnsi="Times New Roman"/>
          <w:b/>
          <w:bCs/>
          <w:sz w:val="28"/>
          <w:szCs w:val="28"/>
        </w:rPr>
      </w:pPr>
    </w:p>
    <w:p w14:paraId="2F4F5269">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2.4</w:t>
      </w:r>
      <w:r>
        <w:rPr>
          <w:rFonts w:ascii="Times New Roman" w:hAnsi="Times New Roman"/>
          <w:b/>
          <w:bCs/>
          <w:sz w:val="28"/>
          <w:szCs w:val="28"/>
        </w:rPr>
        <w:t xml:space="preserve"> </w:t>
      </w:r>
      <w:r>
        <w:rPr>
          <w:rFonts w:hint="eastAsia" w:ascii="Times New Roman" w:hAnsi="Times New Roman"/>
          <w:b/>
          <w:bCs/>
          <w:sz w:val="28"/>
          <w:szCs w:val="28"/>
        </w:rPr>
        <w:t>投标报价明细表-子项二（广重集团办公家具）</w:t>
      </w:r>
    </w:p>
    <w:p w14:paraId="4111D231">
      <w:pPr>
        <w:rPr>
          <w:rFonts w:hint="eastAsia" w:ascii="宋体" w:hAnsi="宋体" w:cs="宋体"/>
          <w:kern w:val="0"/>
          <w:szCs w:val="21"/>
        </w:rPr>
      </w:pPr>
      <w:r>
        <w:rPr>
          <w:rFonts w:hint="eastAsia" w:ascii="宋体" w:hAnsi="宋体" w:cs="宋体"/>
          <w:kern w:val="0"/>
          <w:szCs w:val="21"/>
        </w:rPr>
        <w:t>（</w:t>
      </w:r>
      <w:r>
        <w:rPr>
          <w:rFonts w:hint="eastAsia" w:ascii="宋体" w:hAnsi="宋体" w:cs="宋体"/>
          <w:b/>
          <w:bCs/>
          <w:kern w:val="0"/>
          <w:szCs w:val="21"/>
        </w:rPr>
        <w:t>报价清单可另附</w:t>
      </w:r>
      <w:r>
        <w:rPr>
          <w:rFonts w:hint="eastAsia" w:ascii="宋体" w:hAnsi="宋体" w:cs="宋体"/>
          <w:kern w:val="0"/>
          <w:szCs w:val="21"/>
        </w:rPr>
        <w:t>）</w:t>
      </w:r>
    </w:p>
    <w:p w14:paraId="44BD8091">
      <w:pPr>
        <w:ind w:firstLine="420" w:firstLineChars="200"/>
        <w:rPr>
          <w:rFonts w:hint="eastAsia" w:ascii="宋体" w:hAnsi="宋体"/>
          <w:kern w:val="0"/>
          <w:szCs w:val="21"/>
        </w:rPr>
      </w:pPr>
    </w:p>
    <w:p w14:paraId="7C2012F6">
      <w:pPr>
        <w:keepNext/>
        <w:keepLines/>
        <w:adjustRightInd w:val="0"/>
        <w:snapToGrid w:val="0"/>
        <w:spacing w:before="280" w:after="290"/>
        <w:outlineLvl w:val="3"/>
        <w:rPr>
          <w:rFonts w:ascii="Times New Roman" w:hAnsi="Times New Roman"/>
          <w:b/>
          <w:bCs/>
          <w:kern w:val="0"/>
          <w:sz w:val="32"/>
          <w:szCs w:val="32"/>
        </w:rPr>
      </w:pPr>
      <w:r>
        <w:rPr>
          <w:sz w:val="24"/>
          <w:szCs w:val="24"/>
        </w:rPr>
        <w:br w:type="page"/>
      </w:r>
    </w:p>
    <w:p w14:paraId="12EB092F">
      <w:pPr>
        <w:keepNext/>
        <w:keepLines/>
        <w:widowControl/>
        <w:spacing w:after="156" w:afterLines="50" w:line="413" w:lineRule="auto"/>
        <w:outlineLvl w:val="1"/>
        <w:rPr>
          <w:rFonts w:ascii="Times New Roman" w:hAnsi="Times New Roman"/>
          <w:b/>
          <w:bCs/>
          <w:kern w:val="0"/>
          <w:sz w:val="32"/>
          <w:szCs w:val="32"/>
        </w:rPr>
      </w:pPr>
      <w:r>
        <w:rPr>
          <w:rFonts w:hint="eastAsia" w:ascii="Times New Roman" w:hAnsi="Times New Roman"/>
          <w:b/>
          <w:bCs/>
          <w:kern w:val="0"/>
          <w:sz w:val="32"/>
          <w:szCs w:val="32"/>
        </w:rPr>
        <w:t>三、资格性文件</w:t>
      </w:r>
    </w:p>
    <w:p w14:paraId="3CC95201">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3.1 投标函</w:t>
      </w:r>
    </w:p>
    <w:p w14:paraId="3A17FE69">
      <w:pPr>
        <w:adjustRightInd w:val="0"/>
        <w:snapToGrid w:val="0"/>
        <w:spacing w:line="360" w:lineRule="auto"/>
        <w:rPr>
          <w:szCs w:val="21"/>
        </w:rPr>
      </w:pPr>
      <w:r>
        <w:rPr>
          <w:rFonts w:hint="eastAsia"/>
          <w:szCs w:val="21"/>
          <w:u w:val="single"/>
        </w:rPr>
        <w:t>（招标人）</w:t>
      </w:r>
      <w:r>
        <w:rPr>
          <w:rFonts w:hint="eastAsia"/>
          <w:szCs w:val="21"/>
        </w:rPr>
        <w:t>：</w:t>
      </w:r>
    </w:p>
    <w:p w14:paraId="17E01FCB">
      <w:pPr>
        <w:autoSpaceDE w:val="0"/>
        <w:autoSpaceDN w:val="0"/>
        <w:adjustRightInd w:val="0"/>
        <w:spacing w:line="360" w:lineRule="auto"/>
        <w:ind w:right="26" w:firstLine="472" w:firstLineChars="225"/>
        <w:rPr>
          <w:szCs w:val="21"/>
        </w:rPr>
      </w:pPr>
      <w:r>
        <w:rPr>
          <w:rFonts w:hint="eastAsia"/>
          <w:szCs w:val="21"/>
        </w:rPr>
        <w:t>依据贵方招标项目名称</w:t>
      </w:r>
      <w:r>
        <w:rPr>
          <w:rFonts w:hint="eastAsia"/>
          <w:szCs w:val="21"/>
          <w:u w:val="single"/>
        </w:rPr>
        <w:t>（招标项目名称、编号）</w:t>
      </w:r>
      <w:r>
        <w:rPr>
          <w:rFonts w:hint="eastAsia"/>
          <w:szCs w:val="21"/>
        </w:rPr>
        <w:t>项目采购货物及服务的投标邀请，我方代表</w:t>
      </w:r>
      <w:r>
        <w:rPr>
          <w:rFonts w:hint="eastAsia"/>
          <w:szCs w:val="21"/>
          <w:u w:val="single"/>
        </w:rPr>
        <w:t>（姓名、职务）</w:t>
      </w:r>
      <w:r>
        <w:rPr>
          <w:rFonts w:hint="eastAsia"/>
          <w:szCs w:val="21"/>
        </w:rPr>
        <w:t>经正式授权并代表</w:t>
      </w:r>
      <w:r>
        <w:rPr>
          <w:rFonts w:hint="eastAsia"/>
          <w:szCs w:val="21"/>
          <w:u w:val="single"/>
        </w:rPr>
        <w:t>（投标人名称、地址）</w:t>
      </w:r>
      <w:r>
        <w:rPr>
          <w:rFonts w:hint="eastAsia"/>
          <w:szCs w:val="21"/>
        </w:rPr>
        <w:t>提交下述文件。</w:t>
      </w:r>
    </w:p>
    <w:p w14:paraId="5970CC10">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1. 自查表；</w:t>
      </w:r>
    </w:p>
    <w:p w14:paraId="0FE9BB7E">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2. 价格部分；</w:t>
      </w:r>
    </w:p>
    <w:p w14:paraId="1DFD9DE8">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3. 资格性文件；</w:t>
      </w:r>
    </w:p>
    <w:p w14:paraId="5969A3ED">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4. 商务部分；</w:t>
      </w:r>
    </w:p>
    <w:p w14:paraId="08D11060">
      <w:pPr>
        <w:autoSpaceDE w:val="0"/>
        <w:autoSpaceDN w:val="0"/>
        <w:adjustRightInd w:val="0"/>
        <w:spacing w:line="300" w:lineRule="auto"/>
        <w:ind w:right="32" w:firstLine="472" w:firstLineChars="225"/>
        <w:rPr>
          <w:rFonts w:hint="eastAsia" w:ascii="宋体" w:hAnsi="宋体"/>
          <w:szCs w:val="21"/>
        </w:rPr>
      </w:pPr>
      <w:r>
        <w:rPr>
          <w:rFonts w:hint="eastAsia" w:ascii="宋体" w:hAnsi="宋体"/>
          <w:szCs w:val="21"/>
        </w:rPr>
        <w:t>5. 技术部分；</w:t>
      </w:r>
    </w:p>
    <w:p w14:paraId="3815ED71">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6. 其他部分。</w:t>
      </w:r>
    </w:p>
    <w:p w14:paraId="0D4025F4">
      <w:pPr>
        <w:autoSpaceDE w:val="0"/>
        <w:autoSpaceDN w:val="0"/>
        <w:adjustRightInd w:val="0"/>
        <w:spacing w:line="300" w:lineRule="auto"/>
        <w:ind w:right="246" w:firstLine="472" w:firstLineChars="225"/>
        <w:rPr>
          <w:rFonts w:hint="eastAsia" w:ascii="宋体" w:hAnsi="宋体"/>
          <w:szCs w:val="21"/>
        </w:rPr>
      </w:pPr>
      <w:r>
        <w:rPr>
          <w:rFonts w:hint="eastAsia" w:ascii="宋体" w:hAnsi="宋体"/>
          <w:szCs w:val="21"/>
        </w:rPr>
        <w:t>在此，我方声明如下：</w:t>
      </w:r>
    </w:p>
    <w:p w14:paraId="5591990D">
      <w:pPr>
        <w:spacing w:line="360" w:lineRule="auto"/>
        <w:ind w:firstLine="472" w:firstLineChars="225"/>
        <w:rPr>
          <w:rFonts w:hint="eastAsia" w:ascii="宋体" w:hAnsi="宋体"/>
          <w:szCs w:val="21"/>
        </w:rPr>
      </w:pPr>
      <w:r>
        <w:rPr>
          <w:rFonts w:hint="eastAsia" w:ascii="宋体" w:hAnsi="宋体"/>
          <w:szCs w:val="21"/>
        </w:rPr>
        <w:t>1.</w:t>
      </w:r>
      <w:r>
        <w:rPr>
          <w:rFonts w:hint="eastAsia"/>
          <w:szCs w:val="21"/>
        </w:rPr>
        <w:t>同意并接受招标文件的各项要求，遵守招标文件中的各项规定，按招</w:t>
      </w:r>
      <w:r>
        <w:rPr>
          <w:rFonts w:hint="eastAsia" w:ascii="宋体" w:hAnsi="宋体"/>
          <w:szCs w:val="21"/>
        </w:rPr>
        <w:t>标文件的要求提供报价。</w:t>
      </w:r>
    </w:p>
    <w:p w14:paraId="66ED09F0">
      <w:pPr>
        <w:spacing w:line="360" w:lineRule="auto"/>
        <w:ind w:firstLine="472" w:firstLineChars="225"/>
        <w:rPr>
          <w:rFonts w:hint="eastAsia" w:ascii="宋体" w:hAnsi="宋体"/>
          <w:szCs w:val="21"/>
        </w:rPr>
      </w:pPr>
      <w:r>
        <w:rPr>
          <w:rFonts w:hint="eastAsia" w:ascii="宋体" w:hAnsi="宋体"/>
          <w:szCs w:val="21"/>
        </w:rPr>
        <w:t>2.全部货物和相关服务的投标总价详见投标报价表。</w:t>
      </w:r>
    </w:p>
    <w:p w14:paraId="0C279FB7">
      <w:pPr>
        <w:spacing w:line="360" w:lineRule="auto"/>
        <w:ind w:firstLine="472" w:firstLineChars="225"/>
        <w:rPr>
          <w:rFonts w:hint="eastAsia" w:ascii="宋体" w:hAnsi="宋体"/>
          <w:szCs w:val="21"/>
        </w:rPr>
      </w:pPr>
      <w:r>
        <w:rPr>
          <w:rFonts w:hint="eastAsia" w:ascii="宋体" w:hAnsi="宋体"/>
          <w:szCs w:val="21"/>
        </w:rPr>
        <w:t>3.投标有效期为</w:t>
      </w:r>
      <w:r>
        <w:rPr>
          <w:rFonts w:hint="eastAsia"/>
        </w:rPr>
        <w:t>投标截止日</w:t>
      </w:r>
      <w:r>
        <w:rPr>
          <w:rFonts w:hint="eastAsia"/>
          <w:szCs w:val="21"/>
        </w:rPr>
        <w:t>起</w:t>
      </w:r>
      <w:r>
        <w:rPr>
          <w:rFonts w:hint="eastAsia" w:ascii="宋体" w:hAnsi="宋体"/>
          <w:szCs w:val="21"/>
          <w:u w:val="single"/>
        </w:rPr>
        <w:t xml:space="preserve"> 90 </w:t>
      </w:r>
      <w:r>
        <w:rPr>
          <w:rFonts w:hint="eastAsia" w:ascii="宋体" w:hAnsi="宋体"/>
          <w:szCs w:val="21"/>
        </w:rPr>
        <w:t>天，中标人投标有效期延至合同验收之日。</w:t>
      </w:r>
    </w:p>
    <w:p w14:paraId="7421A84C">
      <w:pPr>
        <w:spacing w:line="360" w:lineRule="auto"/>
        <w:ind w:firstLine="472" w:firstLineChars="225"/>
        <w:rPr>
          <w:rFonts w:hint="eastAsia" w:ascii="宋体" w:hAnsi="宋体"/>
          <w:szCs w:val="21"/>
        </w:rPr>
      </w:pPr>
      <w:r>
        <w:rPr>
          <w:rFonts w:hint="eastAsia" w:ascii="宋体" w:hAnsi="宋体"/>
          <w:szCs w:val="21"/>
        </w:rPr>
        <w:t>4.</w:t>
      </w:r>
      <w:r>
        <w:rPr>
          <w:rFonts w:hint="eastAsia"/>
          <w:szCs w:val="21"/>
        </w:rPr>
        <w:t>我方已经详细地阅读了全部招标文件及其附件</w:t>
      </w:r>
      <w:r>
        <w:rPr>
          <w:rFonts w:hint="eastAsia" w:ascii="宋体" w:hAnsi="宋体"/>
          <w:szCs w:val="21"/>
        </w:rPr>
        <w:t>，</w:t>
      </w:r>
      <w:r>
        <w:rPr>
          <w:rFonts w:hint="eastAsia" w:ascii="宋体" w:hAnsi="宋体"/>
        </w:rPr>
        <w:t>包括澄清、修改文件（如果有）和所有已提供的参考资料以及有关附件，我方完全明白并认为此招标文件没有倾向性，也不存在排斥潜在投标人的内容，我方同意招标文件的相关条款，放弃对招标文件提出误解和异议的一切权力</w:t>
      </w:r>
      <w:r>
        <w:rPr>
          <w:rFonts w:hint="eastAsia" w:ascii="宋体" w:hAnsi="宋体"/>
          <w:szCs w:val="21"/>
        </w:rPr>
        <w:t>。</w:t>
      </w:r>
    </w:p>
    <w:p w14:paraId="6F3E28EC">
      <w:pPr>
        <w:spacing w:line="360" w:lineRule="auto"/>
        <w:ind w:firstLine="472" w:firstLineChars="225"/>
        <w:rPr>
          <w:rFonts w:hint="eastAsia" w:ascii="宋体" w:hAnsi="宋体"/>
          <w:szCs w:val="21"/>
        </w:rPr>
      </w:pPr>
      <w:r>
        <w:rPr>
          <w:rFonts w:hint="eastAsia" w:ascii="宋体" w:hAnsi="宋体"/>
          <w:szCs w:val="21"/>
        </w:rPr>
        <w:t>5.</w:t>
      </w:r>
      <w:r>
        <w:rPr>
          <w:rFonts w:hint="eastAsia" w:ascii="宋体" w:hAnsi="宋体"/>
          <w:szCs w:val="21"/>
          <w:u w:val="single"/>
        </w:rPr>
        <w:t xml:space="preserve">      </w:t>
      </w:r>
      <w:r>
        <w:rPr>
          <w:rFonts w:hint="eastAsia" w:ascii="宋体" w:hAnsi="宋体"/>
          <w:i/>
          <w:szCs w:val="21"/>
          <w:u w:val="single"/>
        </w:rPr>
        <w:t xml:space="preserve">(投标人名称)     </w:t>
      </w:r>
      <w:r>
        <w:rPr>
          <w:rFonts w:hint="eastAsia" w:ascii="宋体" w:hAnsi="宋体"/>
          <w:szCs w:val="21"/>
        </w:rPr>
        <w:t>作为投标人正式授权</w:t>
      </w:r>
      <w:r>
        <w:rPr>
          <w:rFonts w:hint="eastAsia" w:ascii="宋体" w:hAnsi="宋体"/>
          <w:szCs w:val="21"/>
          <w:u w:val="single"/>
        </w:rPr>
        <w:t xml:space="preserve">     </w:t>
      </w:r>
      <w:r>
        <w:rPr>
          <w:rFonts w:hint="eastAsia" w:ascii="宋体" w:hAnsi="宋体"/>
          <w:i/>
          <w:szCs w:val="21"/>
          <w:u w:val="single"/>
        </w:rPr>
        <w:t xml:space="preserve">(授权代表全名, 职务)       </w:t>
      </w:r>
      <w:r>
        <w:rPr>
          <w:rFonts w:hint="eastAsia" w:ascii="宋体" w:hAnsi="宋体"/>
          <w:szCs w:val="21"/>
        </w:rPr>
        <w:t>代表我方全权处理有关本投标的一切事宜。</w:t>
      </w:r>
    </w:p>
    <w:p w14:paraId="48729DDC">
      <w:pPr>
        <w:spacing w:line="360" w:lineRule="auto"/>
        <w:ind w:firstLine="472" w:firstLineChars="225"/>
        <w:rPr>
          <w:rFonts w:hint="eastAsia" w:ascii="宋体" w:hAnsi="宋体"/>
          <w:szCs w:val="21"/>
        </w:rPr>
      </w:pPr>
      <w:r>
        <w:rPr>
          <w:rFonts w:hint="eastAsia" w:ascii="宋体" w:hAnsi="宋体"/>
          <w:szCs w:val="21"/>
        </w:rPr>
        <w:t>6.我方已毫无保留地向贵方提供一切所需的证明材料。</w:t>
      </w:r>
    </w:p>
    <w:p w14:paraId="693228C7">
      <w:pPr>
        <w:spacing w:line="360" w:lineRule="auto"/>
        <w:ind w:firstLine="472" w:firstLineChars="225"/>
        <w:rPr>
          <w:rFonts w:hint="eastAsia" w:ascii="宋体" w:hAnsi="宋体"/>
        </w:rPr>
      </w:pPr>
      <w:r>
        <w:rPr>
          <w:rFonts w:hint="eastAsia" w:ascii="宋体" w:hAnsi="宋体"/>
          <w:szCs w:val="21"/>
        </w:rPr>
        <w:t>7.我方承诺在本次投标响应中提供的一切文件，无论是原件还是扫描件均为真实和准确的，绝无任何虚假、伪造和夸大的成份，否则，愿承担相应的后果和法律责任。</w:t>
      </w:r>
      <w:r>
        <w:rPr>
          <w:rFonts w:hint="eastAsia" w:ascii="宋体" w:hAnsi="宋体"/>
          <w:b/>
          <w:bCs/>
        </w:rPr>
        <w:t>我方如果中标，在合同签订前将向招标人提供投标文件中涉及“合格投标人条件”和“第四部分  评标方法”的《详细评标表》响应情况（包括但不限于营业执照、企业管理体系认证、业绩证明材料等）扫描件相对应的原件进行核查</w:t>
      </w:r>
      <w:r>
        <w:rPr>
          <w:rFonts w:hint="eastAsia" w:ascii="宋体" w:hAnsi="宋体"/>
        </w:rPr>
        <w:t>。</w:t>
      </w:r>
    </w:p>
    <w:p w14:paraId="66A7699E">
      <w:pPr>
        <w:spacing w:line="360" w:lineRule="auto"/>
        <w:ind w:firstLine="472" w:firstLineChars="225"/>
        <w:rPr>
          <w:rFonts w:hint="eastAsia" w:ascii="宋体" w:hAnsi="宋体"/>
          <w:szCs w:val="21"/>
        </w:rPr>
      </w:pPr>
      <w:r>
        <w:rPr>
          <w:rFonts w:hint="eastAsia" w:ascii="宋体" w:hAnsi="宋体"/>
          <w:szCs w:val="21"/>
        </w:rPr>
        <w:t>8.</w:t>
      </w:r>
      <w:r>
        <w:rPr>
          <w:rFonts w:hint="eastAsia" w:ascii="宋体" w:hAnsi="宋体"/>
        </w:rPr>
        <w:t>我方明白并同意在规定的开标时间之后、投标有效期之内若撤回投标，投标保证金将不予退还。</w:t>
      </w:r>
    </w:p>
    <w:p w14:paraId="4962DC74">
      <w:pPr>
        <w:spacing w:line="360" w:lineRule="auto"/>
        <w:ind w:firstLine="472" w:firstLineChars="225"/>
        <w:rPr>
          <w:rFonts w:hint="eastAsia" w:ascii="宋体" w:hAnsi="宋体"/>
          <w:szCs w:val="21"/>
        </w:rPr>
      </w:pPr>
      <w:r>
        <w:rPr>
          <w:rFonts w:hint="eastAsia" w:ascii="宋体" w:hAnsi="宋体"/>
          <w:szCs w:val="21"/>
        </w:rPr>
        <w:t>9.我方完全服从和尊重评委会所作的评定结果，同时清楚理解到报价最低并非意味着必定获得中标。</w:t>
      </w:r>
    </w:p>
    <w:p w14:paraId="26FBC035">
      <w:pPr>
        <w:spacing w:line="360" w:lineRule="auto"/>
        <w:ind w:firstLine="472" w:firstLineChars="225"/>
        <w:rPr>
          <w:rFonts w:hint="eastAsia" w:ascii="宋体" w:hAnsi="宋体"/>
        </w:rPr>
      </w:pPr>
      <w:r>
        <w:rPr>
          <w:rFonts w:hint="eastAsia" w:ascii="宋体" w:hAnsi="宋体"/>
          <w:szCs w:val="21"/>
        </w:rPr>
        <w:t>10.</w:t>
      </w:r>
      <w:r>
        <w:rPr>
          <w:rFonts w:hint="eastAsia" w:ascii="宋体" w:hAnsi="宋体"/>
        </w:rPr>
        <w:t>我方如果中标，将按照招标文件及其修改文件（如果有的话）的要求及我方投标承诺，按质、按量、按期履行全部合同责任和义务。</w:t>
      </w:r>
    </w:p>
    <w:p w14:paraId="01FF5C54">
      <w:pPr>
        <w:spacing w:line="360" w:lineRule="auto"/>
        <w:ind w:firstLine="472" w:firstLineChars="225"/>
        <w:rPr>
          <w:rFonts w:hint="eastAsia" w:ascii="宋体" w:hAnsi="宋体"/>
          <w:szCs w:val="21"/>
        </w:rPr>
      </w:pPr>
    </w:p>
    <w:p w14:paraId="37EA448B">
      <w:pPr>
        <w:autoSpaceDE w:val="0"/>
        <w:autoSpaceDN w:val="0"/>
        <w:adjustRightInd w:val="0"/>
        <w:spacing w:line="360" w:lineRule="auto"/>
        <w:ind w:right="246" w:firstLine="472" w:firstLineChars="225"/>
        <w:rPr>
          <w:szCs w:val="21"/>
        </w:rPr>
      </w:pPr>
      <w:r>
        <w:rPr>
          <w:rFonts w:hint="eastAsia"/>
          <w:szCs w:val="21"/>
        </w:rPr>
        <w:t>投标人：</w:t>
      </w:r>
      <w:r>
        <w:rPr>
          <w:rFonts w:hint="eastAsia"/>
          <w:szCs w:val="21"/>
          <w:u w:val="single"/>
        </w:rPr>
        <w:t xml:space="preserve">                             </w:t>
      </w:r>
    </w:p>
    <w:p w14:paraId="20DE66D3">
      <w:pPr>
        <w:autoSpaceDE w:val="0"/>
        <w:autoSpaceDN w:val="0"/>
        <w:adjustRightInd w:val="0"/>
        <w:spacing w:line="360" w:lineRule="auto"/>
        <w:ind w:right="246" w:firstLine="472" w:firstLineChars="225"/>
        <w:rPr>
          <w:szCs w:val="21"/>
        </w:rPr>
      </w:pPr>
      <w:r>
        <w:rPr>
          <w:rFonts w:hint="eastAsia"/>
          <w:szCs w:val="21"/>
        </w:rPr>
        <w:t>地址：</w:t>
      </w:r>
      <w:r>
        <w:rPr>
          <w:rFonts w:hint="eastAsia"/>
          <w:szCs w:val="21"/>
          <w:u w:val="single"/>
        </w:rPr>
        <w:t xml:space="preserve">                               </w:t>
      </w:r>
    </w:p>
    <w:p w14:paraId="1DDF0D67">
      <w:pPr>
        <w:autoSpaceDE w:val="0"/>
        <w:autoSpaceDN w:val="0"/>
        <w:adjustRightInd w:val="0"/>
        <w:spacing w:line="360" w:lineRule="auto"/>
        <w:ind w:right="246" w:firstLine="472" w:firstLineChars="225"/>
        <w:rPr>
          <w:szCs w:val="21"/>
          <w:u w:val="single"/>
        </w:rPr>
      </w:pPr>
      <w:r>
        <w:rPr>
          <w:rFonts w:hint="eastAsia"/>
          <w:szCs w:val="21"/>
        </w:rPr>
        <w:t>传真：</w:t>
      </w:r>
      <w:r>
        <w:rPr>
          <w:rFonts w:hint="eastAsia"/>
          <w:szCs w:val="21"/>
          <w:u w:val="single"/>
        </w:rPr>
        <w:t xml:space="preserve">                               </w:t>
      </w:r>
    </w:p>
    <w:p w14:paraId="1404DFC1">
      <w:pPr>
        <w:autoSpaceDE w:val="0"/>
        <w:autoSpaceDN w:val="0"/>
        <w:adjustRightInd w:val="0"/>
        <w:spacing w:line="360" w:lineRule="auto"/>
        <w:ind w:right="246" w:firstLine="472" w:firstLineChars="225"/>
        <w:rPr>
          <w:szCs w:val="21"/>
        </w:rPr>
      </w:pPr>
      <w:r>
        <w:rPr>
          <w:rFonts w:hint="eastAsia"/>
          <w:szCs w:val="21"/>
        </w:rPr>
        <w:t>电话：</w:t>
      </w:r>
      <w:r>
        <w:rPr>
          <w:rFonts w:hint="eastAsia"/>
          <w:szCs w:val="21"/>
          <w:u w:val="single"/>
        </w:rPr>
        <w:t xml:space="preserve">                                </w:t>
      </w:r>
    </w:p>
    <w:p w14:paraId="732D87EC">
      <w:pPr>
        <w:autoSpaceDE w:val="0"/>
        <w:autoSpaceDN w:val="0"/>
        <w:adjustRightInd w:val="0"/>
        <w:spacing w:line="360" w:lineRule="auto"/>
        <w:ind w:right="246" w:firstLine="472" w:firstLineChars="225"/>
        <w:rPr>
          <w:szCs w:val="21"/>
        </w:rPr>
      </w:pPr>
      <w:r>
        <w:rPr>
          <w:rFonts w:hint="eastAsia"/>
          <w:szCs w:val="21"/>
        </w:rPr>
        <w:t>电子邮件：</w:t>
      </w:r>
      <w:r>
        <w:rPr>
          <w:rFonts w:hint="eastAsia"/>
          <w:szCs w:val="21"/>
          <w:u w:val="single"/>
        </w:rPr>
        <w:t xml:space="preserve">                            </w:t>
      </w:r>
    </w:p>
    <w:p w14:paraId="1693FA18">
      <w:pPr>
        <w:autoSpaceDE w:val="0"/>
        <w:autoSpaceDN w:val="0"/>
        <w:adjustRightInd w:val="0"/>
        <w:spacing w:line="360" w:lineRule="auto"/>
        <w:ind w:right="246" w:firstLine="472" w:firstLineChars="225"/>
        <w:rPr>
          <w:szCs w:val="21"/>
        </w:rPr>
      </w:pPr>
      <w:r>
        <w:rPr>
          <w:rFonts w:hint="eastAsia"/>
          <w:szCs w:val="21"/>
        </w:rPr>
        <w:t>开户银行：</w:t>
      </w:r>
      <w:r>
        <w:rPr>
          <w:rFonts w:hint="eastAsia"/>
          <w:szCs w:val="21"/>
          <w:u w:val="single"/>
        </w:rPr>
        <w:t xml:space="preserve">                            </w:t>
      </w:r>
    </w:p>
    <w:p w14:paraId="0A8AFCB2">
      <w:pPr>
        <w:autoSpaceDE w:val="0"/>
        <w:autoSpaceDN w:val="0"/>
        <w:spacing w:line="360" w:lineRule="auto"/>
        <w:ind w:firstLine="472" w:firstLineChars="225"/>
        <w:rPr>
          <w:szCs w:val="21"/>
        </w:rPr>
      </w:pPr>
      <w:r>
        <w:rPr>
          <w:rFonts w:hint="eastAsia"/>
          <w:szCs w:val="21"/>
        </w:rPr>
        <w:t>账号：</w:t>
      </w:r>
      <w:r>
        <w:rPr>
          <w:rFonts w:hint="eastAsia"/>
          <w:szCs w:val="21"/>
          <w:u w:val="single"/>
        </w:rPr>
        <w:t xml:space="preserve">                               </w:t>
      </w:r>
    </w:p>
    <w:p w14:paraId="40E0B6B8">
      <w:pPr>
        <w:adjustRightInd w:val="0"/>
        <w:snapToGrid w:val="0"/>
        <w:spacing w:line="360" w:lineRule="auto"/>
        <w:ind w:firstLine="472" w:firstLineChars="225"/>
        <w:rPr>
          <w:szCs w:val="21"/>
          <w:u w:val="single"/>
        </w:rPr>
      </w:pPr>
      <w:r>
        <w:rPr>
          <w:rFonts w:hint="eastAsia"/>
          <w:szCs w:val="21"/>
        </w:rPr>
        <w:t>日期：</w:t>
      </w:r>
      <w:r>
        <w:rPr>
          <w:rFonts w:hint="eastAsia"/>
          <w:szCs w:val="21"/>
          <w:u w:val="single"/>
        </w:rPr>
        <w:t xml:space="preserve">                               </w:t>
      </w:r>
    </w:p>
    <w:p w14:paraId="2050329D">
      <w:pPr>
        <w:rPr>
          <w:szCs w:val="21"/>
        </w:rPr>
      </w:pPr>
    </w:p>
    <w:p w14:paraId="6F4C1106">
      <w:pPr>
        <w:keepNext/>
        <w:keepLines/>
        <w:adjustRightInd w:val="0"/>
        <w:snapToGrid w:val="0"/>
        <w:spacing w:before="280" w:after="290"/>
        <w:outlineLvl w:val="3"/>
        <w:rPr>
          <w:rFonts w:ascii="Times New Roman" w:hAnsi="Times New Roman"/>
          <w:b/>
          <w:bCs/>
          <w:sz w:val="28"/>
          <w:szCs w:val="28"/>
        </w:rPr>
      </w:pPr>
      <w:r>
        <w:rPr>
          <w:rFonts w:ascii="Cambria" w:hAnsi="Cambria"/>
          <w:b/>
          <w:bCs/>
          <w:sz w:val="24"/>
          <w:szCs w:val="24"/>
        </w:rPr>
        <w:br w:type="page"/>
      </w:r>
      <w:r>
        <w:rPr>
          <w:rFonts w:hint="eastAsia" w:ascii="Times New Roman" w:hAnsi="Times New Roman"/>
          <w:b/>
          <w:bCs/>
          <w:sz w:val="28"/>
          <w:szCs w:val="28"/>
        </w:rPr>
        <w:t>3.2</w:t>
      </w:r>
      <w:r>
        <w:rPr>
          <w:rFonts w:ascii="Times New Roman" w:hAnsi="Times New Roman"/>
          <w:b/>
          <w:bCs/>
          <w:sz w:val="28"/>
          <w:szCs w:val="28"/>
        </w:rPr>
        <w:t xml:space="preserve"> </w:t>
      </w:r>
      <w:r>
        <w:rPr>
          <w:rFonts w:hint="eastAsia" w:ascii="Times New Roman" w:hAnsi="Times New Roman"/>
          <w:b/>
          <w:bCs/>
          <w:sz w:val="28"/>
          <w:szCs w:val="28"/>
        </w:rPr>
        <w:t>授权委托书</w:t>
      </w:r>
    </w:p>
    <w:p w14:paraId="21DEA092">
      <w:pPr>
        <w:spacing w:line="480" w:lineRule="exact"/>
        <w:jc w:val="center"/>
        <w:rPr>
          <w:b/>
          <w:sz w:val="28"/>
          <w:szCs w:val="28"/>
        </w:rPr>
      </w:pPr>
      <w:r>
        <w:rPr>
          <w:rFonts w:hint="eastAsia" w:cs="宋体"/>
          <w:b/>
          <w:sz w:val="28"/>
          <w:szCs w:val="28"/>
        </w:rPr>
        <w:t>授权委托书</w:t>
      </w:r>
    </w:p>
    <w:p w14:paraId="37DBAE3E">
      <w:pPr>
        <w:spacing w:line="360" w:lineRule="auto"/>
        <w:rPr>
          <w:sz w:val="28"/>
          <w:szCs w:val="28"/>
        </w:rPr>
      </w:pPr>
    </w:p>
    <w:p w14:paraId="2B2162A0">
      <w:pPr>
        <w:spacing w:line="360" w:lineRule="auto"/>
        <w:rPr>
          <w:szCs w:val="21"/>
        </w:rPr>
      </w:pPr>
      <w:r>
        <w:rPr>
          <w:rFonts w:hint="eastAsia" w:cs="宋体"/>
          <w:szCs w:val="21"/>
        </w:rPr>
        <w:t>致：招标人：</w:t>
      </w:r>
    </w:p>
    <w:p w14:paraId="78F27211">
      <w:pPr>
        <w:spacing w:line="360" w:lineRule="auto"/>
        <w:rPr>
          <w:szCs w:val="21"/>
        </w:rPr>
      </w:pPr>
    </w:p>
    <w:p w14:paraId="1B89431A">
      <w:pPr>
        <w:spacing w:line="360" w:lineRule="auto"/>
        <w:ind w:firstLine="420" w:firstLineChars="200"/>
        <w:rPr>
          <w:szCs w:val="21"/>
        </w:rPr>
      </w:pPr>
      <w:r>
        <w:rPr>
          <w:rFonts w:hint="eastAsia" w:cs="宋体"/>
          <w:szCs w:val="21"/>
        </w:rPr>
        <w:t>兹授权</w:t>
      </w:r>
      <w:r>
        <w:rPr>
          <w:szCs w:val="21"/>
          <w:u w:val="single"/>
        </w:rPr>
        <w:t xml:space="preserve">             </w:t>
      </w:r>
      <w:r>
        <w:rPr>
          <w:rFonts w:hint="eastAsia" w:cs="宋体"/>
          <w:szCs w:val="21"/>
        </w:rPr>
        <w:t>同志，为我方签订经济合同及办理其他事务代理人，其权限是：</w:t>
      </w:r>
    </w:p>
    <w:p w14:paraId="388231B0">
      <w:pPr>
        <w:spacing w:line="360" w:lineRule="auto"/>
        <w:rPr>
          <w:szCs w:val="21"/>
        </w:rPr>
      </w:pPr>
      <w:r>
        <w:rPr>
          <w:szCs w:val="21"/>
          <w:u w:val="single"/>
        </w:rPr>
        <w:t xml:space="preserve">                                                   </w:t>
      </w:r>
      <w:r>
        <w:rPr>
          <w:rFonts w:hint="eastAsia" w:cs="宋体"/>
          <w:szCs w:val="21"/>
        </w:rPr>
        <w:t>。</w:t>
      </w:r>
    </w:p>
    <w:p w14:paraId="0FEFF051">
      <w:pPr>
        <w:spacing w:line="360" w:lineRule="auto"/>
        <w:rPr>
          <w:rFonts w:cs="宋体"/>
          <w:szCs w:val="21"/>
        </w:rPr>
      </w:pPr>
      <w:r>
        <w:rPr>
          <w:rFonts w:hint="eastAsia" w:cs="宋体"/>
          <w:szCs w:val="21"/>
        </w:rPr>
        <w:t>授权单位：          （加盖公章）     法定代表人              （签名或盖章）</w:t>
      </w:r>
    </w:p>
    <w:p w14:paraId="504F55B9">
      <w:pPr>
        <w:spacing w:line="360" w:lineRule="auto"/>
        <w:rPr>
          <w:szCs w:val="21"/>
        </w:rPr>
      </w:pPr>
      <w:r>
        <w:rPr>
          <w:rFonts w:hint="eastAsia" w:cs="宋体"/>
          <w:szCs w:val="21"/>
        </w:rPr>
        <w:t>签发日期：</w:t>
      </w:r>
    </w:p>
    <w:p w14:paraId="74A71E74">
      <w:pPr>
        <w:spacing w:line="360" w:lineRule="auto"/>
        <w:rPr>
          <w:szCs w:val="21"/>
        </w:rPr>
      </w:pPr>
      <w:r>
        <w:rPr>
          <w:rFonts w:hint="eastAsia" w:cs="宋体"/>
          <w:szCs w:val="21"/>
        </w:rPr>
        <w:t>附：代理人性别：</w:t>
      </w:r>
      <w:r>
        <w:rPr>
          <w:szCs w:val="21"/>
        </w:rPr>
        <w:t xml:space="preserve">        </w:t>
      </w:r>
      <w:r>
        <w:rPr>
          <w:rFonts w:hint="eastAsia" w:cs="宋体"/>
          <w:szCs w:val="21"/>
        </w:rPr>
        <w:t>年龄：</w:t>
      </w:r>
      <w:r>
        <w:rPr>
          <w:szCs w:val="21"/>
        </w:rPr>
        <w:t xml:space="preserve">       </w:t>
      </w:r>
      <w:r>
        <w:rPr>
          <w:rFonts w:hint="eastAsia" w:cs="宋体"/>
          <w:szCs w:val="21"/>
        </w:rPr>
        <w:t>职务：</w:t>
      </w:r>
      <w:r>
        <w:rPr>
          <w:szCs w:val="21"/>
        </w:rPr>
        <w:t xml:space="preserve">         </w:t>
      </w:r>
      <w:r>
        <w:rPr>
          <w:rFonts w:hint="eastAsia" w:cs="宋体"/>
          <w:szCs w:val="21"/>
        </w:rPr>
        <w:t>身份证号码：</w:t>
      </w:r>
    </w:p>
    <w:p w14:paraId="27A942E9">
      <w:pPr>
        <w:spacing w:line="360" w:lineRule="auto"/>
        <w:ind w:firstLine="472" w:firstLineChars="225"/>
        <w:rPr>
          <w:szCs w:val="21"/>
        </w:rPr>
      </w:pPr>
      <w:r>
        <w:rPr>
          <w:rFonts w:hint="eastAsia" w:cs="宋体"/>
          <w:szCs w:val="21"/>
        </w:rPr>
        <w:t>联系电话：</w:t>
      </w:r>
    </w:p>
    <w:p w14:paraId="07B4C84D">
      <w:pPr>
        <w:spacing w:line="360" w:lineRule="auto"/>
        <w:ind w:firstLine="472" w:firstLineChars="225"/>
        <w:rPr>
          <w:szCs w:val="21"/>
        </w:rPr>
      </w:pPr>
      <w:r>
        <w:rPr>
          <w:rFonts w:hint="eastAsia" w:cs="宋体"/>
          <w:szCs w:val="21"/>
        </w:rPr>
        <w:t>营业执照号码：</w:t>
      </w:r>
      <w:r>
        <w:rPr>
          <w:szCs w:val="21"/>
        </w:rPr>
        <w:t xml:space="preserve">                         </w:t>
      </w:r>
      <w:r>
        <w:rPr>
          <w:rFonts w:hint="eastAsia" w:cs="宋体"/>
          <w:szCs w:val="21"/>
        </w:rPr>
        <w:t>经济性质：</w:t>
      </w:r>
    </w:p>
    <w:p w14:paraId="1691B963">
      <w:pPr>
        <w:spacing w:line="360" w:lineRule="auto"/>
        <w:ind w:firstLine="472" w:firstLineChars="225"/>
        <w:rPr>
          <w:szCs w:val="21"/>
        </w:rPr>
      </w:pPr>
      <w:r>
        <w:rPr>
          <w:rFonts w:hint="eastAsia" w:cs="宋体"/>
          <w:szCs w:val="21"/>
        </w:rPr>
        <w:t>主营（产）：</w:t>
      </w:r>
    </w:p>
    <w:p w14:paraId="28B2E83D">
      <w:pPr>
        <w:spacing w:line="360" w:lineRule="auto"/>
        <w:ind w:firstLine="472" w:firstLineChars="225"/>
        <w:rPr>
          <w:szCs w:val="21"/>
        </w:rPr>
      </w:pPr>
      <w:r>
        <w:rPr>
          <w:rFonts w:hint="eastAsia" w:cs="宋体"/>
          <w:szCs w:val="21"/>
        </w:rPr>
        <w:t>兼营（产）：</w:t>
      </w:r>
    </w:p>
    <w:p w14:paraId="01E75865">
      <w:pPr>
        <w:spacing w:line="360" w:lineRule="auto"/>
        <w:ind w:firstLine="472" w:firstLineChars="225"/>
        <w:rPr>
          <w:szCs w:val="21"/>
        </w:rPr>
      </w:pPr>
      <w:r>
        <w:rPr>
          <w:rFonts w:hint="eastAsia" w:cs="宋体"/>
          <w:szCs w:val="21"/>
        </w:rPr>
        <w:t>进口物品经营许可证号码：</w:t>
      </w:r>
    </w:p>
    <w:p w14:paraId="68A4AC94">
      <w:pPr>
        <w:spacing w:line="360" w:lineRule="auto"/>
        <w:ind w:firstLine="472" w:firstLineChars="225"/>
        <w:rPr>
          <w:szCs w:val="21"/>
        </w:rPr>
      </w:pPr>
      <w:r>
        <w:rPr>
          <w:rFonts w:hint="eastAsia" w:cs="宋体"/>
          <w:szCs w:val="21"/>
        </w:rPr>
        <w:t>主营：</w:t>
      </w:r>
    </w:p>
    <w:p w14:paraId="4247D35E">
      <w:pPr>
        <w:spacing w:line="360" w:lineRule="auto"/>
        <w:ind w:firstLine="472" w:firstLineChars="225"/>
        <w:rPr>
          <w:szCs w:val="21"/>
        </w:rPr>
      </w:pPr>
      <w:r>
        <w:rPr>
          <w:rFonts w:hint="eastAsia" w:cs="宋体"/>
          <w:szCs w:val="21"/>
        </w:rPr>
        <w:t>兼营：</w:t>
      </w:r>
    </w:p>
    <w:p w14:paraId="41D0AE64">
      <w:pPr>
        <w:spacing w:line="360" w:lineRule="auto"/>
        <w:rPr>
          <w:szCs w:val="21"/>
        </w:rPr>
      </w:pPr>
      <w:r>
        <w:rPr>
          <w:rFonts w:hint="eastAsia" w:cs="宋体"/>
          <w:szCs w:val="21"/>
        </w:rPr>
        <w:t>说明：</w:t>
      </w:r>
      <w:r>
        <w:rPr>
          <w:szCs w:val="21"/>
        </w:rPr>
        <w:t>1</w:t>
      </w:r>
      <w:r>
        <w:rPr>
          <w:rFonts w:hint="eastAsia" w:cs="宋体"/>
          <w:szCs w:val="21"/>
        </w:rPr>
        <w:t>内容必须填写真实、清楚、涂改无效，不得转让、买卖。</w:t>
      </w:r>
    </w:p>
    <w:p w14:paraId="3EFD09E7">
      <w:pPr>
        <w:spacing w:line="360" w:lineRule="auto"/>
        <w:ind w:firstLine="630" w:firstLineChars="300"/>
        <w:rPr>
          <w:b/>
          <w:szCs w:val="21"/>
        </w:rPr>
      </w:pPr>
      <w:r>
        <w:rPr>
          <w:szCs w:val="21"/>
        </w:rPr>
        <w:t>2.</w:t>
      </w:r>
      <w:r>
        <w:rPr>
          <w:rFonts w:hint="eastAsia" w:cs="宋体"/>
          <w:szCs w:val="21"/>
        </w:rPr>
        <w:t>将此证明书提交对方作为合同附件</w:t>
      </w:r>
      <w:r>
        <w:rPr>
          <w:rFonts w:hint="eastAsia" w:cs="宋体"/>
          <w:b/>
          <w:szCs w:val="21"/>
        </w:rPr>
        <w:t>。</w:t>
      </w:r>
    </w:p>
    <w:p w14:paraId="03696D30">
      <w:pPr>
        <w:spacing w:line="360" w:lineRule="auto"/>
        <w:ind w:firstLine="630" w:firstLineChars="300"/>
        <w:rPr>
          <w:szCs w:val="21"/>
        </w:rPr>
      </w:pPr>
      <w:r>
        <w:rPr>
          <w:szCs w:val="21"/>
        </w:rPr>
        <w:t>3.</w:t>
      </w:r>
      <w:r>
        <w:rPr>
          <w:rFonts w:hint="eastAsia" w:cs="宋体"/>
          <w:szCs w:val="21"/>
        </w:rPr>
        <w:t>授权权限：全权代表本公司参与上述招标项目的投标，负责提供与签署确认一切文书资料，以及向贵方递交的任何补充承诺。</w:t>
      </w:r>
    </w:p>
    <w:p w14:paraId="5743BA5C">
      <w:pPr>
        <w:spacing w:line="360" w:lineRule="auto"/>
        <w:ind w:firstLine="644" w:firstLineChars="307"/>
        <w:rPr>
          <w:szCs w:val="21"/>
        </w:rPr>
      </w:pPr>
      <w:r>
        <w:rPr>
          <w:szCs w:val="21"/>
        </w:rPr>
        <w:t>4.</w:t>
      </w:r>
      <w:r>
        <w:rPr>
          <w:rFonts w:hint="eastAsia" w:cs="宋体"/>
          <w:szCs w:val="21"/>
        </w:rPr>
        <w:t>有效期限：与本公司投标文件中标注的投标有效期相同，自本单位盖公章之日起生效。</w:t>
      </w:r>
    </w:p>
    <w:p w14:paraId="62474CA4">
      <w:pPr>
        <w:spacing w:line="360" w:lineRule="auto"/>
      </w:pPr>
      <w:r>
        <w:rPr>
          <w:rFonts w:hint="eastAsia" w:cs="宋体"/>
          <w:b/>
          <w:szCs w:val="21"/>
        </w:rPr>
        <w:t>（为避免废标，请投标人务必提供本附件。）</w:t>
      </w:r>
    </w:p>
    <w:p w14:paraId="4E8F2B96">
      <w:pPr>
        <w:spacing w:line="360" w:lineRule="auto"/>
      </w:pPr>
      <w:r>
        <mc:AlternateContent>
          <mc:Choice Requires="wps">
            <w:drawing>
              <wp:anchor distT="0" distB="0" distL="114300" distR="114300" simplePos="0" relativeHeight="251659264" behindDoc="0" locked="0" layoutInCell="1" allowOverlap="1">
                <wp:simplePos x="0" y="0"/>
                <wp:positionH relativeFrom="column">
                  <wp:posOffset>36830</wp:posOffset>
                </wp:positionH>
                <wp:positionV relativeFrom="paragraph">
                  <wp:posOffset>34925</wp:posOffset>
                </wp:positionV>
                <wp:extent cx="5915025" cy="1584325"/>
                <wp:effectExtent l="0" t="0" r="28575" b="15875"/>
                <wp:wrapNone/>
                <wp:docPr id="7" name="流程图: 可选过程 1"/>
                <wp:cNvGraphicFramePr/>
                <a:graphic xmlns:a="http://schemas.openxmlformats.org/drawingml/2006/main">
                  <a:graphicData uri="http://schemas.microsoft.com/office/word/2010/wordprocessingShape">
                    <wps:wsp>
                      <wps:cNvSpPr/>
                      <wps:spPr>
                        <a:xfrm>
                          <a:off x="0" y="0"/>
                          <a:ext cx="59150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883B411">
                            <w:pPr>
                              <w:jc w:val="center"/>
                              <w:rPr>
                                <w:rFonts w:hint="eastAsia" w:hAnsi="宋体"/>
                                <w:szCs w:val="21"/>
                              </w:rPr>
                            </w:pPr>
                          </w:p>
                          <w:p w14:paraId="65BF6EF4">
                            <w:pPr>
                              <w:jc w:val="center"/>
                              <w:rPr>
                                <w:rFonts w:hint="eastAsia" w:hAnsi="宋体"/>
                                <w:szCs w:val="21"/>
                              </w:rPr>
                            </w:pPr>
                          </w:p>
                          <w:p w14:paraId="28A72D4E">
                            <w:pPr>
                              <w:jc w:val="center"/>
                              <w:rPr>
                                <w:rFonts w:hint="eastAsia" w:hAnsi="宋体"/>
                                <w:szCs w:val="21"/>
                              </w:rPr>
                            </w:pPr>
                          </w:p>
                          <w:p w14:paraId="1005A34F">
                            <w:pPr>
                              <w:jc w:val="center"/>
                              <w:rPr>
                                <w:szCs w:val="21"/>
                              </w:rPr>
                            </w:pPr>
                            <w:r>
                              <w:rPr>
                                <w:rFonts w:hint="eastAsia" w:hAnsi="宋体" w:cs="宋体"/>
                                <w:szCs w:val="21"/>
                              </w:rPr>
                              <w:t>被授权代表身份证扫描件（正反面）</w:t>
                            </w:r>
                          </w:p>
                        </w:txbxContent>
                      </wps:txbx>
                      <wps:bodyPr wrap="square" upright="1"/>
                    </wps:wsp>
                  </a:graphicData>
                </a:graphic>
              </wp:anchor>
            </w:drawing>
          </mc:Choice>
          <mc:Fallback>
            <w:pict>
              <v:shape id="流程图: 可选过程 1" o:spid="_x0000_s1026" o:spt="176" type="#_x0000_t176" style="position:absolute;left:0pt;margin-left:2.9pt;margin-top:2.75pt;height:124.75pt;width:465.75pt;z-index:251659264;mso-width-relative:page;mso-height-relative:page;" fillcolor="#FFFFFF" filled="t" stroked="t" coordsize="21600,21600" o:gfxdata="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6ytVR1wAAAAcBAAAPAAAAAAAAAAEAIAAAACIAAABkcnMvZG93bnJldi54bWxQ&#10;SwECFAAUAAAACACHTuJA8DuSRjECAABeBAAADgAAAAAAAAABACAAAAAmAQAAZHJzL2Uyb0RvYy54&#10;bWxQSwUGAAAAAAYABgBZAQAAyQUAAAAA&#10;">
                <v:fill on="t" focussize="0,0"/>
                <v:stroke color="#000000" joinstyle="miter"/>
                <v:imagedata o:title=""/>
                <o:lock v:ext="edit" aspectratio="f"/>
                <v:textbox>
                  <w:txbxContent>
                    <w:p w14:paraId="5883B411">
                      <w:pPr>
                        <w:jc w:val="center"/>
                        <w:rPr>
                          <w:rFonts w:hint="eastAsia" w:hAnsi="宋体"/>
                          <w:szCs w:val="21"/>
                        </w:rPr>
                      </w:pPr>
                    </w:p>
                    <w:p w14:paraId="65BF6EF4">
                      <w:pPr>
                        <w:jc w:val="center"/>
                        <w:rPr>
                          <w:rFonts w:hint="eastAsia" w:hAnsi="宋体"/>
                          <w:szCs w:val="21"/>
                        </w:rPr>
                      </w:pPr>
                    </w:p>
                    <w:p w14:paraId="28A72D4E">
                      <w:pPr>
                        <w:jc w:val="center"/>
                        <w:rPr>
                          <w:rFonts w:hint="eastAsia" w:hAnsi="宋体"/>
                          <w:szCs w:val="21"/>
                        </w:rPr>
                      </w:pPr>
                    </w:p>
                    <w:p w14:paraId="1005A34F">
                      <w:pPr>
                        <w:jc w:val="center"/>
                        <w:rPr>
                          <w:szCs w:val="21"/>
                        </w:rPr>
                      </w:pPr>
                      <w:r>
                        <w:rPr>
                          <w:rFonts w:hint="eastAsia" w:hAnsi="宋体" w:cs="宋体"/>
                          <w:szCs w:val="21"/>
                        </w:rPr>
                        <w:t>被授权代表身份证扫描件（正反面）</w:t>
                      </w:r>
                    </w:p>
                  </w:txbxContent>
                </v:textbox>
              </v:shape>
            </w:pict>
          </mc:Fallback>
        </mc:AlternateContent>
      </w:r>
    </w:p>
    <w:p w14:paraId="55932D86"/>
    <w:p w14:paraId="1781E339"/>
    <w:p w14:paraId="7258F76F">
      <w:pPr>
        <w:keepNext/>
        <w:keepLines/>
        <w:adjustRightInd w:val="0"/>
        <w:snapToGrid w:val="0"/>
        <w:spacing w:before="280" w:after="290"/>
        <w:outlineLvl w:val="3"/>
        <w:rPr>
          <w:rFonts w:ascii="Times New Roman" w:hAnsi="Times New Roman"/>
          <w:b/>
          <w:bCs/>
          <w:sz w:val="28"/>
          <w:szCs w:val="28"/>
        </w:rPr>
      </w:pPr>
      <w:r>
        <w:rPr>
          <w:sz w:val="24"/>
          <w:szCs w:val="24"/>
        </w:rPr>
        <w:br w:type="page"/>
      </w:r>
      <w:r>
        <w:rPr>
          <w:rFonts w:hint="eastAsia" w:ascii="Times New Roman" w:hAnsi="Times New Roman"/>
          <w:b/>
          <w:bCs/>
          <w:sz w:val="28"/>
          <w:szCs w:val="28"/>
        </w:rPr>
        <w:t>3.</w:t>
      </w:r>
      <w:r>
        <w:rPr>
          <w:rFonts w:ascii="Times New Roman" w:hAnsi="Times New Roman"/>
          <w:b/>
          <w:bCs/>
          <w:sz w:val="28"/>
          <w:szCs w:val="28"/>
        </w:rPr>
        <w:t>3</w:t>
      </w:r>
      <w:r>
        <w:rPr>
          <w:rFonts w:hint="eastAsia" w:ascii="Times New Roman" w:hAnsi="Times New Roman"/>
          <w:b/>
          <w:bCs/>
          <w:sz w:val="28"/>
          <w:szCs w:val="28"/>
        </w:rPr>
        <w:t xml:space="preserve"> 投标保证金交纳凭证</w:t>
      </w:r>
    </w:p>
    <w:p w14:paraId="29E63402">
      <w:pPr>
        <w:spacing w:line="300" w:lineRule="auto"/>
        <w:jc w:val="center"/>
        <w:rPr>
          <w:b/>
          <w:sz w:val="28"/>
          <w:szCs w:val="28"/>
          <w:u w:val="single"/>
        </w:rPr>
      </w:pPr>
      <w:r>
        <w:rPr>
          <w:rFonts w:hint="eastAsia"/>
          <w:b/>
          <w:sz w:val="28"/>
          <w:szCs w:val="28"/>
        </w:rPr>
        <w:t>投标保证金交纳凭证</w:t>
      </w:r>
    </w:p>
    <w:p w14:paraId="6507A4DF">
      <w:pPr>
        <w:tabs>
          <w:tab w:val="left" w:pos="525"/>
        </w:tabs>
        <w:spacing w:line="360" w:lineRule="auto"/>
        <w:rPr>
          <w:szCs w:val="21"/>
        </w:rPr>
      </w:pPr>
      <w:r>
        <w:rPr>
          <w:rFonts w:hint="eastAsia"/>
          <w:szCs w:val="21"/>
          <w:u w:val="single"/>
        </w:rPr>
        <w:t>（招标人）：</w:t>
      </w:r>
    </w:p>
    <w:p w14:paraId="483D1E0F">
      <w:pPr>
        <w:spacing w:line="360" w:lineRule="auto"/>
        <w:rPr>
          <w:szCs w:val="21"/>
        </w:rPr>
      </w:pPr>
      <w:r>
        <w:rPr>
          <w:rFonts w:hint="eastAsia"/>
          <w:szCs w:val="21"/>
        </w:rPr>
        <w:t xml:space="preserve">    </w:t>
      </w:r>
      <w:r>
        <w:rPr>
          <w:rFonts w:hint="eastAsia"/>
          <w:szCs w:val="21"/>
          <w:u w:val="single"/>
        </w:rPr>
        <w:t xml:space="preserve">（投标人全称) </w:t>
      </w:r>
      <w:r>
        <w:rPr>
          <w:rFonts w:hint="eastAsia"/>
          <w:szCs w:val="21"/>
        </w:rPr>
        <w:t>参加贵方组织的、招标项目编号为</w:t>
      </w:r>
      <w:r>
        <w:rPr>
          <w:rFonts w:hint="eastAsia"/>
          <w:szCs w:val="21"/>
          <w:u w:val="single"/>
        </w:rPr>
        <w:t xml:space="preserve">           </w:t>
      </w:r>
      <w:r>
        <w:rPr>
          <w:rFonts w:hint="eastAsia"/>
          <w:szCs w:val="21"/>
        </w:rPr>
        <w:t>的采购活动。按招标文件的规定，已通过（现金、转账等）形式交纳人民币</w:t>
      </w:r>
      <w:r>
        <w:rPr>
          <w:rFonts w:hint="eastAsia"/>
          <w:szCs w:val="21"/>
          <w:u w:val="single"/>
        </w:rPr>
        <w:t xml:space="preserve">（大写）  　　  </w:t>
      </w:r>
      <w:r>
        <w:rPr>
          <w:rFonts w:hint="eastAsia"/>
          <w:szCs w:val="21"/>
        </w:rPr>
        <w:t>元的投标保证金。</w:t>
      </w:r>
    </w:p>
    <w:p w14:paraId="08694724">
      <w:pPr>
        <w:spacing w:line="360" w:lineRule="auto"/>
        <w:ind w:firstLine="420" w:firstLineChars="200"/>
        <w:rPr>
          <w:szCs w:val="21"/>
        </w:rPr>
      </w:pPr>
      <w:r>
        <w:rPr>
          <w:rFonts w:hint="eastAsia"/>
          <w:szCs w:val="21"/>
        </w:rPr>
        <w:t>投标人名称：</w:t>
      </w:r>
      <w:r>
        <w:rPr>
          <w:rFonts w:hint="eastAsia"/>
          <w:szCs w:val="21"/>
          <w:u w:val="single"/>
        </w:rPr>
        <w:t xml:space="preserve">                     </w:t>
      </w:r>
    </w:p>
    <w:p w14:paraId="5451D2E7">
      <w:pPr>
        <w:spacing w:line="360" w:lineRule="auto"/>
        <w:ind w:firstLine="420" w:firstLineChars="200"/>
        <w:rPr>
          <w:szCs w:val="21"/>
        </w:rPr>
      </w:pPr>
      <w:r>
        <w:rPr>
          <w:rFonts w:hint="eastAsia"/>
          <w:szCs w:val="21"/>
        </w:rPr>
        <w:t>投标人开户银行：</w:t>
      </w:r>
      <w:r>
        <w:rPr>
          <w:rFonts w:hint="eastAsia"/>
          <w:szCs w:val="21"/>
          <w:u w:val="single"/>
        </w:rPr>
        <w:t xml:space="preserve">                 </w:t>
      </w:r>
    </w:p>
    <w:p w14:paraId="211BB82C">
      <w:pPr>
        <w:spacing w:line="360" w:lineRule="auto"/>
        <w:ind w:firstLine="420" w:firstLineChars="200"/>
        <w:rPr>
          <w:szCs w:val="21"/>
          <w:u w:val="single"/>
        </w:rPr>
      </w:pPr>
      <w:r>
        <w:rPr>
          <w:rFonts w:hint="eastAsia"/>
          <w:szCs w:val="21"/>
        </w:rPr>
        <w:t>投标人银行账号：</w:t>
      </w:r>
      <w:r>
        <w:rPr>
          <w:rFonts w:hint="eastAsia"/>
          <w:szCs w:val="21"/>
          <w:u w:val="single"/>
        </w:rPr>
        <w:t xml:space="preserve">                 </w:t>
      </w:r>
    </w:p>
    <w:p w14:paraId="671F1BE1">
      <w:pPr>
        <w:spacing w:line="360" w:lineRule="auto"/>
        <w:ind w:firstLine="420" w:firstLineChars="200"/>
        <w:rPr>
          <w:szCs w:val="21"/>
        </w:rPr>
      </w:pPr>
      <w:r>
        <w:rPr>
          <w:rFonts w:hint="eastAsia"/>
          <w:szCs w:val="21"/>
        </w:rPr>
        <w:t>说明：1.上述要素供银行转账及银行汇款方式填写，其他形式可不填。其他方式以现场递交为依据。</w:t>
      </w:r>
    </w:p>
    <w:p w14:paraId="28183446">
      <w:pPr>
        <w:autoSpaceDE w:val="0"/>
        <w:autoSpaceDN w:val="0"/>
        <w:spacing w:line="360" w:lineRule="auto"/>
        <w:ind w:left="479" w:leftChars="228" w:firstLine="630" w:firstLineChars="300"/>
        <w:rPr>
          <w:szCs w:val="21"/>
        </w:rPr>
      </w:pPr>
      <w:r>
        <w:rPr>
          <w:rFonts w:hint="eastAsia"/>
          <w:szCs w:val="21"/>
        </w:rPr>
        <w:t>2.上述要素的填写必须与银行转账或银行汇款凭证的要素一致，</w:t>
      </w:r>
      <w:r>
        <w:rPr>
          <w:rFonts w:hint="eastAsia"/>
          <w:szCs w:val="21"/>
          <w:u w:val="single"/>
        </w:rPr>
        <w:t>招标人</w:t>
      </w:r>
      <w:r>
        <w:rPr>
          <w:rFonts w:hint="eastAsia"/>
          <w:szCs w:val="21"/>
        </w:rPr>
        <w:t>依据此凭证信息退还投标保证金。</w:t>
      </w:r>
    </w:p>
    <w:p w14:paraId="14DB5A51">
      <w:pPr>
        <w:adjustRightInd w:val="0"/>
        <w:snapToGrid w:val="0"/>
        <w:spacing w:line="360" w:lineRule="auto"/>
        <w:rPr>
          <w:szCs w:val="21"/>
        </w:rPr>
      </w:pPr>
    </w:p>
    <w:p w14:paraId="124A0A9F">
      <w:pPr>
        <w:adjustRightInd w:val="0"/>
        <w:snapToGrid w:val="0"/>
        <w:spacing w:line="360" w:lineRule="auto"/>
        <w:rPr>
          <w:szCs w:val="21"/>
          <w:u w:val="single"/>
        </w:rPr>
      </w:pPr>
      <w:r>
        <w:rPr>
          <w:rFonts w:hint="eastAsia"/>
          <w:szCs w:val="21"/>
        </w:rPr>
        <w:t>投标人名称：</w:t>
      </w:r>
      <w:r>
        <w:rPr>
          <w:rFonts w:hint="eastAsia"/>
          <w:szCs w:val="21"/>
          <w:u w:val="single"/>
        </w:rPr>
        <w:t xml:space="preserve">                        </w:t>
      </w:r>
    </w:p>
    <w:p w14:paraId="6FB27566">
      <w:pPr>
        <w:adjustRightInd w:val="0"/>
        <w:snapToGrid w:val="0"/>
        <w:spacing w:line="360" w:lineRule="auto"/>
        <w:rPr>
          <w:szCs w:val="21"/>
          <w:u w:val="single"/>
        </w:rPr>
      </w:pPr>
      <w:r>
        <w:rPr>
          <w:rFonts w:hint="eastAsia"/>
          <w:szCs w:val="21"/>
        </w:rPr>
        <w:t>日期：   年   月   日</w:t>
      </w:r>
    </w:p>
    <w:p w14:paraId="5FF664C7">
      <w:pPr>
        <w:adjustRightInd w:val="0"/>
        <w:snapToGrid w:val="0"/>
        <w:spacing w:line="360" w:lineRule="auto"/>
        <w:rPr>
          <w:szCs w:val="21"/>
          <w:u w:val="single"/>
        </w:rPr>
      </w:pPr>
      <w:r>
        <w:rPr>
          <w:rFonts w:hint="eastAsia"/>
          <w:szCs w:val="21"/>
        </w:rPr>
        <w:t xml:space="preserve">附： </w:t>
      </w:r>
    </w:p>
    <w:tbl>
      <w:tblPr>
        <w:tblStyle w:val="22"/>
        <w:tblW w:w="9112" w:type="dxa"/>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2"/>
      </w:tblGrid>
      <w:tr w14:paraId="6C4CB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8" w:hRule="atLeast"/>
        </w:trPr>
        <w:tc>
          <w:tcPr>
            <w:tcW w:w="9112" w:type="dxa"/>
          </w:tcPr>
          <w:p w14:paraId="7F271AE2">
            <w:pPr>
              <w:spacing w:line="360" w:lineRule="auto"/>
              <w:rPr>
                <w:szCs w:val="21"/>
              </w:rPr>
            </w:pPr>
            <w:r>
              <w:rPr>
                <w:rFonts w:hint="eastAsia"/>
                <w:szCs w:val="21"/>
              </w:rPr>
              <w:t>粘贴转账的银行凭证扫描件</w:t>
            </w:r>
          </w:p>
        </w:tc>
      </w:tr>
    </w:tbl>
    <w:p w14:paraId="70E21158">
      <w:pPr>
        <w:spacing w:line="360" w:lineRule="auto"/>
        <w:rPr>
          <w:szCs w:val="21"/>
        </w:rPr>
      </w:pPr>
      <w:r>
        <w:rPr>
          <w:rFonts w:hint="eastAsia"/>
          <w:szCs w:val="21"/>
        </w:rPr>
        <w:t>注：1.投标人投标响应时，应当按招标文件要求交纳投标保证金。投标保证金可以采用转账、保函形式缴纳。</w:t>
      </w:r>
    </w:p>
    <w:p w14:paraId="43BDDE17">
      <w:pPr>
        <w:keepNext/>
        <w:keepLines/>
        <w:adjustRightInd w:val="0"/>
        <w:snapToGrid w:val="0"/>
        <w:spacing w:before="280" w:after="290"/>
        <w:outlineLvl w:val="3"/>
        <w:rPr>
          <w:rFonts w:ascii="Times New Roman" w:hAnsi="Times New Roman"/>
          <w:b/>
          <w:bCs/>
          <w:sz w:val="28"/>
          <w:szCs w:val="28"/>
        </w:rPr>
      </w:pPr>
      <w:r>
        <w:rPr>
          <w:sz w:val="24"/>
          <w:szCs w:val="24"/>
        </w:rPr>
        <w:br w:type="page"/>
      </w:r>
      <w:bookmarkStart w:id="35" w:name="_Hlk76483736"/>
      <w:r>
        <w:rPr>
          <w:rFonts w:hint="eastAsia" w:ascii="Times New Roman" w:hAnsi="Times New Roman"/>
          <w:b/>
          <w:bCs/>
          <w:sz w:val="28"/>
          <w:szCs w:val="28"/>
        </w:rPr>
        <w:t>3.4 关于资格的声明函</w:t>
      </w:r>
    </w:p>
    <w:p w14:paraId="34308F15">
      <w:pPr>
        <w:widowControl/>
        <w:snapToGrid w:val="0"/>
        <w:spacing w:line="360" w:lineRule="auto"/>
        <w:jc w:val="center"/>
        <w:rPr>
          <w:rFonts w:ascii="Times New Roman" w:hAnsi="Times New Roman"/>
          <w:b/>
          <w:kern w:val="28"/>
          <w:sz w:val="32"/>
          <w:szCs w:val="32"/>
        </w:rPr>
      </w:pPr>
      <w:r>
        <w:rPr>
          <w:rFonts w:hint="eastAsia" w:ascii="Times New Roman" w:hAnsi="Times New Roman"/>
          <w:b/>
          <w:kern w:val="28"/>
          <w:sz w:val="32"/>
          <w:szCs w:val="32"/>
        </w:rPr>
        <w:t>资格声明函</w:t>
      </w:r>
    </w:p>
    <w:p w14:paraId="0C900B9F">
      <w:pPr>
        <w:widowControl/>
        <w:snapToGrid w:val="0"/>
        <w:spacing w:line="360" w:lineRule="auto"/>
        <w:jc w:val="left"/>
        <w:rPr>
          <w:rFonts w:hint="eastAsia" w:ascii="宋体" w:hAnsi="宋体"/>
          <w:kern w:val="0"/>
          <w:szCs w:val="21"/>
        </w:rPr>
      </w:pPr>
      <w:r>
        <w:rPr>
          <w:rFonts w:hint="eastAsia" w:ascii="宋体" w:hAnsi="宋体"/>
          <w:kern w:val="0"/>
          <w:szCs w:val="21"/>
        </w:rPr>
        <w:t>致：</w:t>
      </w:r>
      <w:r>
        <w:rPr>
          <w:rFonts w:hint="eastAsia" w:ascii="宋体" w:hAnsi="宋体"/>
          <w:kern w:val="0"/>
          <w:szCs w:val="21"/>
          <w:u w:val="single"/>
        </w:rPr>
        <w:t>（招标人）</w:t>
      </w:r>
    </w:p>
    <w:p w14:paraId="39B62D45">
      <w:pPr>
        <w:widowControl/>
        <w:snapToGrid w:val="0"/>
        <w:spacing w:line="360" w:lineRule="auto"/>
        <w:ind w:firstLine="435"/>
        <w:jc w:val="left"/>
        <w:rPr>
          <w:rFonts w:hint="eastAsia" w:ascii="宋体" w:hAnsi="宋体"/>
          <w:kern w:val="0"/>
          <w:szCs w:val="21"/>
        </w:rPr>
      </w:pPr>
      <w:r>
        <w:rPr>
          <w:rFonts w:hint="eastAsia" w:ascii="宋体" w:hAnsi="宋体"/>
          <w:kern w:val="0"/>
          <w:szCs w:val="21"/>
        </w:rPr>
        <w:t>关于贵方招标项目名称：____________招标项目编号：</w:t>
      </w:r>
      <w:r>
        <w:rPr>
          <w:rFonts w:hint="eastAsia" w:ascii="宋体" w:hAnsi="宋体"/>
          <w:kern w:val="0"/>
          <w:szCs w:val="21"/>
          <w:u w:val="single"/>
        </w:rPr>
        <w:t xml:space="preserve">        </w:t>
      </w:r>
      <w:r>
        <w:rPr>
          <w:rFonts w:hint="eastAsia" w:ascii="宋体" w:hAnsi="宋体"/>
          <w:kern w:val="0"/>
          <w:szCs w:val="21"/>
        </w:rPr>
        <w:t>投标邀请，本签字人愿意参加投标响应，提供投标文件中规定的货物及服务，并证明提交的下列文件和说明是准确的和真实的。</w:t>
      </w:r>
    </w:p>
    <w:p w14:paraId="74D6F6EA">
      <w:pPr>
        <w:widowControl/>
        <w:snapToGrid w:val="0"/>
        <w:spacing w:line="360" w:lineRule="auto"/>
        <w:ind w:firstLine="435"/>
        <w:jc w:val="left"/>
        <w:rPr>
          <w:rFonts w:hint="eastAsia" w:ascii="宋体" w:hAnsi="宋体"/>
          <w:kern w:val="0"/>
          <w:szCs w:val="21"/>
        </w:rPr>
      </w:pPr>
      <w:r>
        <w:rPr>
          <w:rFonts w:hint="eastAsia" w:ascii="宋体" w:hAnsi="宋体"/>
          <w:kern w:val="0"/>
          <w:szCs w:val="21"/>
        </w:rPr>
        <w:t>1.</w:t>
      </w:r>
      <w:r>
        <w:rPr>
          <w:rFonts w:ascii="宋体" w:hAnsi="宋体"/>
          <w:kern w:val="0"/>
          <w:szCs w:val="21"/>
        </w:rPr>
        <w:t xml:space="preserve"> </w:t>
      </w:r>
      <w:r>
        <w:rPr>
          <w:rFonts w:hint="eastAsia" w:ascii="宋体" w:hAnsi="宋体"/>
          <w:kern w:val="0"/>
          <w:szCs w:val="21"/>
        </w:rPr>
        <w:t>我方为本次投标所提交的所有证明其合格和资格的文件是真实的和正确的，并愿为其真实性和正确性承担法律责任；</w:t>
      </w:r>
    </w:p>
    <w:p w14:paraId="1E843352">
      <w:pPr>
        <w:widowControl/>
        <w:snapToGrid w:val="0"/>
        <w:spacing w:line="360" w:lineRule="auto"/>
        <w:ind w:firstLine="435"/>
        <w:jc w:val="left"/>
        <w:rPr>
          <w:rFonts w:hint="eastAsia" w:ascii="宋体" w:hAnsi="宋体"/>
          <w:kern w:val="0"/>
          <w:szCs w:val="21"/>
        </w:rPr>
      </w:pPr>
      <w:r>
        <w:rPr>
          <w:rFonts w:hint="eastAsia" w:ascii="宋体" w:hAnsi="宋体"/>
          <w:kern w:val="0"/>
          <w:szCs w:val="21"/>
        </w:rPr>
        <w:t>2.</w:t>
      </w:r>
      <w:r>
        <w:rPr>
          <w:rFonts w:ascii="宋体" w:hAnsi="宋体"/>
          <w:kern w:val="0"/>
          <w:szCs w:val="21"/>
        </w:rPr>
        <w:t xml:space="preserve"> </w:t>
      </w:r>
      <w:r>
        <w:rPr>
          <w:rFonts w:hint="eastAsia" w:ascii="宋体" w:hAnsi="宋体"/>
          <w:kern w:val="0"/>
          <w:szCs w:val="21"/>
        </w:rPr>
        <w:t>我方是依法注册的法人，在法律上、财务上和运作上完全独立于</w:t>
      </w:r>
      <w:r>
        <w:rPr>
          <w:rFonts w:hint="eastAsia" w:ascii="宋体" w:hAnsi="宋体"/>
          <w:kern w:val="0"/>
          <w:szCs w:val="21"/>
          <w:u w:val="single"/>
        </w:rPr>
        <w:t>（招标人名称）</w:t>
      </w:r>
      <w:r>
        <w:rPr>
          <w:rFonts w:hint="eastAsia" w:ascii="宋体" w:hAnsi="宋体"/>
          <w:kern w:val="0"/>
          <w:szCs w:val="21"/>
        </w:rPr>
        <w:t>（招标人）；</w:t>
      </w:r>
    </w:p>
    <w:p w14:paraId="444BE193">
      <w:pPr>
        <w:widowControl/>
        <w:snapToGrid w:val="0"/>
        <w:spacing w:line="360" w:lineRule="auto"/>
        <w:ind w:firstLine="435"/>
        <w:jc w:val="left"/>
        <w:rPr>
          <w:rFonts w:hint="eastAsia" w:ascii="宋体" w:hAnsi="宋体"/>
          <w:kern w:val="0"/>
          <w:szCs w:val="21"/>
        </w:rPr>
      </w:pPr>
      <w:r>
        <w:rPr>
          <w:rFonts w:hint="eastAsia" w:ascii="宋体" w:hAnsi="宋体"/>
          <w:kern w:val="0"/>
          <w:szCs w:val="21"/>
        </w:rPr>
        <w:t>3.</w:t>
      </w:r>
      <w:r>
        <w:rPr>
          <w:rFonts w:ascii="宋体" w:hAnsi="宋体"/>
          <w:kern w:val="0"/>
          <w:szCs w:val="21"/>
        </w:rPr>
        <w:t xml:space="preserve"> </w:t>
      </w:r>
      <w:r>
        <w:rPr>
          <w:rFonts w:hint="eastAsia" w:ascii="宋体" w:hAnsi="宋体"/>
          <w:kern w:val="0"/>
          <w:szCs w:val="21"/>
        </w:rPr>
        <w:t>我方在参加本次投标前三年内，在经营活动中没有重大违法记录。</w:t>
      </w:r>
    </w:p>
    <w:p w14:paraId="42020ED0">
      <w:pPr>
        <w:widowControl/>
        <w:snapToGrid w:val="0"/>
        <w:spacing w:line="360" w:lineRule="auto"/>
        <w:ind w:firstLine="435"/>
        <w:jc w:val="left"/>
        <w:rPr>
          <w:rFonts w:hint="eastAsia" w:ascii="宋体" w:hAnsi="宋体"/>
          <w:kern w:val="0"/>
          <w:szCs w:val="21"/>
        </w:rPr>
      </w:pPr>
      <w:r>
        <w:rPr>
          <w:rFonts w:hint="eastAsia" w:ascii="宋体" w:hAnsi="宋体"/>
          <w:kern w:val="0"/>
          <w:szCs w:val="21"/>
        </w:rPr>
        <w:t>4. 我方承诺未与</w:t>
      </w:r>
      <w:r>
        <w:rPr>
          <w:rFonts w:hint="eastAsia" w:ascii="宋体" w:hAnsi="宋体"/>
          <w:szCs w:val="21"/>
        </w:rPr>
        <w:t>单位负责人为同一人或者存在控股、管理关系的不同单位，同时参加本项目投标。</w:t>
      </w:r>
    </w:p>
    <w:p w14:paraId="2B5B110F">
      <w:pPr>
        <w:widowControl/>
        <w:snapToGrid w:val="0"/>
        <w:spacing w:line="360" w:lineRule="auto"/>
        <w:ind w:firstLine="435"/>
        <w:jc w:val="left"/>
        <w:rPr>
          <w:rFonts w:hint="eastAsia" w:ascii="宋体" w:hAnsi="宋体"/>
          <w:kern w:val="0"/>
          <w:szCs w:val="21"/>
        </w:rPr>
      </w:pPr>
      <w:r>
        <w:rPr>
          <w:rFonts w:hint="eastAsia" w:ascii="宋体" w:hAnsi="宋体"/>
          <w:kern w:val="0"/>
          <w:szCs w:val="21"/>
        </w:rPr>
        <w:t>5. 我方承诺无下列任何一种情况：</w:t>
      </w:r>
    </w:p>
    <w:p w14:paraId="2EBE05D0">
      <w:pPr>
        <w:widowControl/>
        <w:snapToGrid w:val="0"/>
        <w:spacing w:line="360" w:lineRule="auto"/>
        <w:ind w:firstLine="435"/>
        <w:jc w:val="left"/>
        <w:rPr>
          <w:rFonts w:hint="eastAsia" w:ascii="宋体" w:hAnsi="宋体"/>
          <w:kern w:val="0"/>
          <w:szCs w:val="21"/>
        </w:rPr>
      </w:pPr>
      <w:r>
        <w:rPr>
          <w:rFonts w:hint="eastAsia" w:ascii="宋体" w:hAnsi="宋体"/>
          <w:kern w:val="0"/>
          <w:szCs w:val="21"/>
        </w:rPr>
        <w:t>① 处于被责令停业的状态；处于取消投标资格的处罚期内；处于财产被接管、冻结、破产的状态；近三年内发生骗取中标、严重违约和重大工程质量、安全生产事故等问题；</w:t>
      </w:r>
    </w:p>
    <w:p w14:paraId="50ED9922">
      <w:pPr>
        <w:widowControl/>
        <w:snapToGrid w:val="0"/>
        <w:spacing w:line="360" w:lineRule="auto"/>
        <w:ind w:firstLine="435"/>
        <w:jc w:val="left"/>
        <w:rPr>
          <w:rFonts w:hint="eastAsia" w:ascii="宋体" w:hAnsi="宋体"/>
          <w:kern w:val="0"/>
          <w:szCs w:val="21"/>
        </w:rPr>
      </w:pPr>
      <w:r>
        <w:rPr>
          <w:rFonts w:hint="eastAsia" w:ascii="宋体" w:hAnsi="宋体"/>
          <w:kern w:val="0"/>
          <w:szCs w:val="21"/>
        </w:rPr>
        <w:t>② 联合体、关联方关系企业同时报名和投标。</w:t>
      </w:r>
    </w:p>
    <w:p w14:paraId="044ADA90">
      <w:pPr>
        <w:widowControl/>
        <w:snapToGrid w:val="0"/>
        <w:spacing w:line="360" w:lineRule="auto"/>
        <w:ind w:firstLine="435"/>
        <w:jc w:val="left"/>
        <w:rPr>
          <w:rFonts w:hint="eastAsia" w:ascii="宋体" w:hAnsi="宋体"/>
          <w:kern w:val="0"/>
          <w:szCs w:val="21"/>
        </w:rPr>
      </w:pPr>
      <w:r>
        <w:rPr>
          <w:rFonts w:hint="eastAsia" w:ascii="宋体" w:hAnsi="宋体"/>
          <w:kern w:val="0"/>
          <w:szCs w:val="21"/>
        </w:rPr>
        <w:t>③ 如中标后将项目分包、转包。</w:t>
      </w:r>
    </w:p>
    <w:p w14:paraId="3001F613">
      <w:pPr>
        <w:widowControl/>
        <w:snapToGrid w:val="0"/>
        <w:spacing w:line="360" w:lineRule="auto"/>
        <w:ind w:firstLine="435"/>
        <w:jc w:val="left"/>
        <w:rPr>
          <w:rFonts w:hint="eastAsia" w:ascii="宋体" w:hAnsi="宋体"/>
          <w:kern w:val="0"/>
          <w:szCs w:val="21"/>
        </w:rPr>
      </w:pPr>
      <w:r>
        <w:rPr>
          <w:rFonts w:hint="eastAsia" w:ascii="宋体" w:hAnsi="宋体"/>
          <w:kern w:val="0"/>
          <w:szCs w:val="21"/>
        </w:rPr>
        <w:t>6. 我方保证不与其他单位围标、串标，不向邀请人或其人员行贿。</w:t>
      </w:r>
    </w:p>
    <w:p w14:paraId="26BFAEAA">
      <w:pPr>
        <w:widowControl/>
        <w:snapToGrid w:val="0"/>
        <w:spacing w:line="360" w:lineRule="auto"/>
        <w:ind w:firstLine="435"/>
        <w:jc w:val="left"/>
        <w:rPr>
          <w:rFonts w:hint="eastAsia" w:ascii="宋体" w:hAnsi="宋体"/>
          <w:kern w:val="0"/>
          <w:szCs w:val="21"/>
        </w:rPr>
      </w:pPr>
      <w:r>
        <w:rPr>
          <w:rFonts w:hint="eastAsia" w:ascii="宋体" w:hAnsi="宋体"/>
          <w:kern w:val="0"/>
          <w:szCs w:val="21"/>
        </w:rPr>
        <w:t>7. 如我方在本项目中存在串通投标、弄虚作假、行贿情形的，中标无效，接受被招标人列入黑名单并被限制投标的处罚。</w:t>
      </w:r>
    </w:p>
    <w:p w14:paraId="2AE746A4">
      <w:pPr>
        <w:widowControl/>
        <w:snapToGrid w:val="0"/>
        <w:spacing w:line="360" w:lineRule="auto"/>
        <w:ind w:firstLine="435"/>
        <w:jc w:val="left"/>
        <w:rPr>
          <w:rFonts w:hint="eastAsia" w:ascii="宋体" w:hAnsi="宋体"/>
          <w:kern w:val="0"/>
          <w:szCs w:val="21"/>
        </w:rPr>
      </w:pPr>
    </w:p>
    <w:p w14:paraId="397FB6B1">
      <w:pPr>
        <w:widowControl/>
        <w:snapToGrid w:val="0"/>
        <w:spacing w:line="360" w:lineRule="auto"/>
        <w:ind w:firstLine="435"/>
        <w:jc w:val="left"/>
        <w:rPr>
          <w:rFonts w:hint="eastAsia" w:ascii="宋体" w:hAnsi="宋体"/>
          <w:kern w:val="0"/>
          <w:szCs w:val="21"/>
        </w:rPr>
      </w:pPr>
      <w:r>
        <w:rPr>
          <w:rFonts w:hint="eastAsia" w:ascii="宋体" w:hAnsi="宋体"/>
          <w:kern w:val="0"/>
          <w:szCs w:val="21"/>
        </w:rPr>
        <w:t>附资格文件如下：</w:t>
      </w:r>
    </w:p>
    <w:p w14:paraId="1250CBA5">
      <w:pPr>
        <w:widowControl/>
        <w:autoSpaceDE w:val="0"/>
        <w:autoSpaceDN w:val="0"/>
        <w:adjustRightInd w:val="0"/>
        <w:snapToGrid w:val="0"/>
        <w:spacing w:line="360" w:lineRule="auto"/>
        <w:ind w:left="510"/>
        <w:jc w:val="left"/>
        <w:textAlignment w:val="baseline"/>
        <w:rPr>
          <w:rFonts w:hint="eastAsia" w:ascii="宋体" w:hAnsi="宋体"/>
          <w:kern w:val="0"/>
          <w:szCs w:val="21"/>
        </w:rPr>
      </w:pPr>
      <w:bookmarkStart w:id="36" w:name="_Hlk52290472"/>
      <w:r>
        <w:rPr>
          <w:rFonts w:hint="eastAsia" w:ascii="宋体" w:hAnsi="宋体"/>
          <w:kern w:val="0"/>
          <w:szCs w:val="21"/>
        </w:rPr>
        <w:t>1. 《企业法人营业执照》扫描件；</w:t>
      </w:r>
    </w:p>
    <w:p w14:paraId="12C6EEFC">
      <w:pPr>
        <w:widowControl/>
        <w:autoSpaceDE w:val="0"/>
        <w:autoSpaceDN w:val="0"/>
        <w:adjustRightInd w:val="0"/>
        <w:snapToGrid w:val="0"/>
        <w:spacing w:line="360" w:lineRule="auto"/>
        <w:ind w:left="510"/>
        <w:jc w:val="left"/>
        <w:textAlignment w:val="baseline"/>
        <w:rPr>
          <w:rFonts w:hint="eastAsia" w:ascii="宋体" w:hAnsi="宋体"/>
          <w:kern w:val="0"/>
          <w:szCs w:val="21"/>
        </w:rPr>
      </w:pPr>
      <w:r>
        <w:rPr>
          <w:rFonts w:ascii="宋体" w:hAnsi="宋体"/>
          <w:kern w:val="0"/>
          <w:szCs w:val="21"/>
        </w:rPr>
        <w:t>2.</w:t>
      </w:r>
      <w:r>
        <w:rPr>
          <w:rFonts w:hint="eastAsia" w:ascii="宋体" w:hAnsi="宋体"/>
          <w:kern w:val="0"/>
          <w:szCs w:val="21"/>
        </w:rPr>
        <w:t xml:space="preserve"> </w:t>
      </w:r>
      <w:r>
        <w:rPr>
          <w:rFonts w:hint="eastAsia" w:ascii="宋体" w:hAnsi="宋体"/>
          <w:szCs w:val="21"/>
        </w:rPr>
        <w:t>须提供</w:t>
      </w:r>
      <w:r>
        <w:rPr>
          <w:rFonts w:hint="eastAsia" w:ascii="宋体" w:hAnsi="宋体" w:cs="宋体"/>
          <w:kern w:val="0"/>
          <w:szCs w:val="21"/>
        </w:rPr>
        <w:t>投标人</w:t>
      </w:r>
      <w:r>
        <w:rPr>
          <w:rFonts w:hint="eastAsia" w:ascii="宋体" w:hAnsi="宋体"/>
          <w:szCs w:val="21"/>
        </w:rPr>
        <w:t>是所投家具的制造商的证明材料；</w:t>
      </w:r>
    </w:p>
    <w:p w14:paraId="0E742FB4">
      <w:pPr>
        <w:widowControl/>
        <w:autoSpaceDE w:val="0"/>
        <w:autoSpaceDN w:val="0"/>
        <w:adjustRightInd w:val="0"/>
        <w:snapToGrid w:val="0"/>
        <w:spacing w:line="360" w:lineRule="auto"/>
        <w:ind w:left="510"/>
        <w:jc w:val="left"/>
        <w:textAlignment w:val="baseline"/>
        <w:rPr>
          <w:rFonts w:hint="eastAsia" w:ascii="宋体" w:hAnsi="宋体"/>
          <w:kern w:val="0"/>
          <w:szCs w:val="21"/>
        </w:rPr>
      </w:pPr>
      <w:r>
        <w:rPr>
          <w:rFonts w:hint="eastAsia" w:ascii="宋体" w:hAnsi="宋体"/>
          <w:kern w:val="0"/>
          <w:szCs w:val="21"/>
        </w:rPr>
        <w:t>3. 其它有效文件：按“合格投标人条件”、“第四部分</w:t>
      </w:r>
      <w:r>
        <w:rPr>
          <w:rFonts w:ascii="宋体" w:hAnsi="宋体"/>
          <w:kern w:val="0"/>
          <w:szCs w:val="21"/>
        </w:rPr>
        <w:t xml:space="preserve"> 评标方法”《详细</w:t>
      </w:r>
      <w:r>
        <w:rPr>
          <w:rFonts w:hint="eastAsia" w:ascii="宋体" w:hAnsi="宋体"/>
          <w:kern w:val="0"/>
          <w:szCs w:val="21"/>
        </w:rPr>
        <w:t>评标</w:t>
      </w:r>
      <w:r>
        <w:rPr>
          <w:rFonts w:ascii="宋体" w:hAnsi="宋体"/>
          <w:kern w:val="0"/>
          <w:szCs w:val="21"/>
        </w:rPr>
        <w:t>表》要求提供</w:t>
      </w:r>
      <w:r>
        <w:rPr>
          <w:rFonts w:hint="eastAsia" w:ascii="宋体" w:hAnsi="宋体"/>
          <w:kern w:val="0"/>
          <w:szCs w:val="21"/>
        </w:rPr>
        <w:t>。</w:t>
      </w:r>
    </w:p>
    <w:bookmarkEnd w:id="36"/>
    <w:p w14:paraId="667F0187">
      <w:pPr>
        <w:widowControl/>
        <w:snapToGrid w:val="0"/>
        <w:spacing w:line="360" w:lineRule="auto"/>
        <w:jc w:val="left"/>
        <w:rPr>
          <w:rFonts w:hint="eastAsia" w:ascii="宋体" w:hAnsi="宋体"/>
          <w:kern w:val="0"/>
          <w:szCs w:val="21"/>
        </w:rPr>
      </w:pPr>
    </w:p>
    <w:p w14:paraId="3584A8B6">
      <w:pPr>
        <w:widowControl/>
        <w:tabs>
          <w:tab w:val="left" w:pos="840"/>
        </w:tabs>
        <w:snapToGrid w:val="0"/>
        <w:spacing w:line="360" w:lineRule="auto"/>
        <w:jc w:val="left"/>
        <w:rPr>
          <w:rFonts w:hint="eastAsia" w:ascii="宋体" w:hAnsi="宋体"/>
          <w:kern w:val="0"/>
          <w:szCs w:val="21"/>
        </w:rPr>
      </w:pPr>
    </w:p>
    <w:p w14:paraId="7AFA5118">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592C02B7">
      <w:pPr>
        <w:spacing w:after="120" w:line="360" w:lineRule="exact"/>
        <w:jc w:val="left"/>
        <w:rPr>
          <w:sz w:val="16"/>
          <w:szCs w:val="21"/>
        </w:rPr>
      </w:pPr>
      <w:r>
        <w:rPr>
          <w:rFonts w:hint="eastAsia"/>
          <w:szCs w:val="21"/>
        </w:rPr>
        <w:t>日期：   年   月   日</w:t>
      </w:r>
    </w:p>
    <w:p w14:paraId="0C97B2EC">
      <w:pPr>
        <w:keepNext/>
        <w:keepLines/>
        <w:adjustRightInd w:val="0"/>
        <w:snapToGrid w:val="0"/>
        <w:spacing w:before="280" w:after="290"/>
        <w:outlineLvl w:val="3"/>
        <w:rPr>
          <w:rFonts w:ascii="Times New Roman" w:hAnsi="Times New Roman"/>
          <w:b/>
          <w:bCs/>
          <w:sz w:val="28"/>
          <w:szCs w:val="28"/>
        </w:rPr>
      </w:pPr>
      <w:r>
        <w:rPr>
          <w:sz w:val="24"/>
          <w:szCs w:val="24"/>
        </w:rPr>
        <w:br w:type="page"/>
      </w:r>
      <w:bookmarkEnd w:id="35"/>
      <w:bookmarkStart w:id="37" w:name="_Hlk76483855"/>
      <w:r>
        <w:rPr>
          <w:rFonts w:hint="eastAsia" w:ascii="Times New Roman" w:hAnsi="Times New Roman"/>
          <w:b/>
          <w:bCs/>
          <w:sz w:val="28"/>
          <w:szCs w:val="28"/>
        </w:rPr>
        <w:t>3.5 投标承诺书</w:t>
      </w:r>
    </w:p>
    <w:p w14:paraId="460AB188">
      <w:pPr>
        <w:widowControl/>
        <w:snapToGrid w:val="0"/>
        <w:spacing w:line="360" w:lineRule="auto"/>
        <w:jc w:val="center"/>
        <w:rPr>
          <w:rFonts w:hint="eastAsia" w:ascii="宋体" w:hAnsi="宋体"/>
          <w:kern w:val="0"/>
          <w:szCs w:val="20"/>
        </w:rPr>
      </w:pPr>
      <w:r>
        <w:rPr>
          <w:rFonts w:hint="eastAsia" w:ascii="Times New Roman" w:hAnsi="Times New Roman"/>
          <w:b/>
          <w:kern w:val="28"/>
          <w:sz w:val="32"/>
          <w:szCs w:val="32"/>
        </w:rPr>
        <w:t>投标承诺书</w:t>
      </w:r>
      <w:r>
        <w:rPr>
          <w:rFonts w:ascii="Times New Roman" w:hAnsi="Times New Roman"/>
          <w:kern w:val="0"/>
          <w:szCs w:val="20"/>
        </w:rPr>
        <w:tab/>
      </w:r>
    </w:p>
    <w:p w14:paraId="7CA80991">
      <w:pPr>
        <w:widowControl/>
        <w:snapToGrid w:val="0"/>
        <w:spacing w:line="360" w:lineRule="auto"/>
        <w:jc w:val="left"/>
        <w:rPr>
          <w:rFonts w:hint="eastAsia" w:ascii="宋体" w:hAnsi="宋体"/>
          <w:b/>
          <w:kern w:val="0"/>
          <w:szCs w:val="21"/>
          <w:u w:val="single"/>
        </w:rPr>
      </w:pPr>
      <w:r>
        <w:rPr>
          <w:rFonts w:hint="eastAsia" w:ascii="宋体" w:hAnsi="宋体"/>
          <w:b/>
          <w:kern w:val="0"/>
          <w:szCs w:val="21"/>
          <w:u w:val="single"/>
        </w:rPr>
        <w:t>（招标人名称）：</w:t>
      </w:r>
    </w:p>
    <w:p w14:paraId="74FA36E7">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本投标人已详细阅读了</w:t>
      </w:r>
      <w:r>
        <w:rPr>
          <w:rFonts w:hint="eastAsia" w:ascii="宋体" w:hAnsi="宋体"/>
          <w:kern w:val="0"/>
          <w:szCs w:val="20"/>
          <w:u w:val="single"/>
        </w:rPr>
        <w:t xml:space="preserve">  （项目名称）  </w:t>
      </w:r>
      <w:r>
        <w:rPr>
          <w:rFonts w:hint="eastAsia" w:ascii="宋体" w:hAnsi="宋体"/>
          <w:kern w:val="0"/>
          <w:szCs w:val="20"/>
        </w:rPr>
        <w:t>招标文件，自愿参加上述项目投标，现就有关事项向招标人郑重承诺如下：</w:t>
      </w:r>
    </w:p>
    <w:p w14:paraId="57FB8C07">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1.</w:t>
      </w:r>
      <w:r>
        <w:rPr>
          <w:rFonts w:ascii="宋体" w:hAnsi="宋体"/>
          <w:kern w:val="0"/>
          <w:szCs w:val="20"/>
        </w:rPr>
        <w:t xml:space="preserve"> </w:t>
      </w:r>
      <w:r>
        <w:rPr>
          <w:rFonts w:hint="eastAsia" w:ascii="宋体" w:hAnsi="宋体"/>
          <w:kern w:val="0"/>
          <w:szCs w:val="20"/>
        </w:rPr>
        <w:t>本投标人自愿在招标文件规定的时限内按照招标文件及采购合同、用户需求书、技术规范等要求完成采购任务，按时交货并验收合格。货物质量按照投标文件的承诺并满足招标文件要求。</w:t>
      </w:r>
    </w:p>
    <w:p w14:paraId="2C141C17">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2.</w:t>
      </w:r>
      <w:r>
        <w:rPr>
          <w:rFonts w:ascii="宋体" w:hAnsi="宋体"/>
          <w:kern w:val="0"/>
          <w:szCs w:val="20"/>
        </w:rPr>
        <w:t xml:space="preserve"> </w:t>
      </w:r>
      <w:r>
        <w:rPr>
          <w:rFonts w:hint="eastAsia" w:ascii="宋体" w:hAnsi="宋体"/>
          <w:kern w:val="0"/>
          <w:szCs w:val="20"/>
        </w:rPr>
        <w:t>遵守中华人民共和国、广东省、广州市有关采购、招标投标的法律法规规定，自觉维护市场经济秩序。否则，同意被废除投标资格并接受处罚。</w:t>
      </w:r>
    </w:p>
    <w:p w14:paraId="2E857F9A">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3.</w:t>
      </w:r>
      <w:r>
        <w:rPr>
          <w:rFonts w:ascii="宋体" w:hAnsi="宋体"/>
          <w:kern w:val="0"/>
          <w:szCs w:val="20"/>
        </w:rPr>
        <w:t xml:space="preserve"> </w:t>
      </w:r>
      <w:r>
        <w:rPr>
          <w:rFonts w:hint="eastAsia" w:ascii="宋体" w:hAnsi="宋体"/>
          <w:kern w:val="0"/>
          <w:szCs w:val="20"/>
        </w:rPr>
        <w:t>保证投标文件内容无任何虚假。若评标过程中查出有虚假，同意作无效投标文件处理并</w:t>
      </w:r>
      <w:r>
        <w:rPr>
          <w:rFonts w:hint="eastAsia" w:ascii="宋体" w:hAnsi="宋体"/>
        </w:rPr>
        <w:t>不予退还</w:t>
      </w:r>
      <w:r>
        <w:rPr>
          <w:rFonts w:hint="eastAsia" w:ascii="宋体" w:hAnsi="宋体"/>
          <w:kern w:val="0"/>
          <w:szCs w:val="20"/>
        </w:rPr>
        <w:t>投标担保，若中标之后查出有虚假，同意废除中标资格并</w:t>
      </w:r>
      <w:r>
        <w:rPr>
          <w:rFonts w:hint="eastAsia" w:ascii="宋体" w:hAnsi="宋体"/>
        </w:rPr>
        <w:t>不予退还</w:t>
      </w:r>
      <w:r>
        <w:rPr>
          <w:rFonts w:hint="eastAsia" w:ascii="宋体" w:hAnsi="宋体"/>
          <w:kern w:val="0"/>
          <w:szCs w:val="20"/>
        </w:rPr>
        <w:t>投标担保。</w:t>
      </w:r>
    </w:p>
    <w:p w14:paraId="33295B57">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4.</w:t>
      </w:r>
      <w:r>
        <w:rPr>
          <w:rFonts w:ascii="宋体" w:hAnsi="宋体"/>
          <w:kern w:val="0"/>
          <w:szCs w:val="20"/>
        </w:rPr>
        <w:t xml:space="preserve"> </w:t>
      </w:r>
      <w:r>
        <w:rPr>
          <w:rFonts w:hint="eastAsia" w:ascii="宋体" w:hAnsi="宋体"/>
          <w:kern w:val="0"/>
          <w:szCs w:val="20"/>
        </w:rPr>
        <w:t>保证投标文件不存在低于成本的恶意报价行为。</w:t>
      </w:r>
    </w:p>
    <w:p w14:paraId="222C1F18">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5.</w:t>
      </w:r>
      <w:r>
        <w:rPr>
          <w:rFonts w:ascii="宋体" w:hAnsi="宋体"/>
          <w:kern w:val="0"/>
          <w:szCs w:val="20"/>
        </w:rPr>
        <w:t xml:space="preserve"> </w:t>
      </w:r>
      <w:r>
        <w:rPr>
          <w:rFonts w:hint="eastAsia" w:ascii="宋体" w:hAnsi="宋体"/>
          <w:kern w:val="0"/>
          <w:szCs w:val="20"/>
        </w:rPr>
        <w:t>保证按照招标文件及中标通知书规定提交履约担保并商签采购合同，对招标文件“第五部分 合同书格式”中的条款项下的内容完全响应，不作任何的偏离。否则，同意接受招标人违约处罚并</w:t>
      </w:r>
      <w:r>
        <w:rPr>
          <w:rFonts w:hint="eastAsia" w:ascii="宋体" w:hAnsi="宋体"/>
        </w:rPr>
        <w:t>不予退还</w:t>
      </w:r>
      <w:r>
        <w:rPr>
          <w:rFonts w:hint="eastAsia" w:ascii="宋体" w:hAnsi="宋体"/>
          <w:kern w:val="0"/>
          <w:szCs w:val="20"/>
        </w:rPr>
        <w:t>投标担保。</w:t>
      </w:r>
    </w:p>
    <w:p w14:paraId="622BA233">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6.</w:t>
      </w:r>
      <w:r>
        <w:rPr>
          <w:rFonts w:ascii="宋体" w:hAnsi="宋体"/>
          <w:kern w:val="0"/>
          <w:szCs w:val="20"/>
        </w:rPr>
        <w:t xml:space="preserve"> </w:t>
      </w:r>
      <w:r>
        <w:rPr>
          <w:rFonts w:hint="eastAsia" w:ascii="宋体" w:hAnsi="宋体"/>
          <w:kern w:val="0"/>
          <w:szCs w:val="20"/>
        </w:rPr>
        <w:t>保证按照采购合同约定完成采购合同范围内的全部内容，履行保修责任。否则，同意接受招标人对投标人违约处理。</w:t>
      </w:r>
    </w:p>
    <w:p w14:paraId="6E017374">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7.</w:t>
      </w:r>
      <w:r>
        <w:rPr>
          <w:rFonts w:ascii="宋体" w:hAnsi="宋体"/>
          <w:kern w:val="0"/>
          <w:szCs w:val="20"/>
        </w:rPr>
        <w:t xml:space="preserve"> </w:t>
      </w:r>
      <w:r>
        <w:rPr>
          <w:rFonts w:hint="eastAsia" w:ascii="宋体" w:hAnsi="宋体"/>
          <w:kern w:val="0"/>
          <w:szCs w:val="20"/>
        </w:rPr>
        <w:t>保证中标之后不转包，若分包将征得招标人同意并遵守相关法律法规。</w:t>
      </w:r>
    </w:p>
    <w:p w14:paraId="124F7933">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8.</w:t>
      </w:r>
      <w:r>
        <w:rPr>
          <w:rFonts w:ascii="宋体" w:hAnsi="宋体"/>
          <w:kern w:val="0"/>
          <w:szCs w:val="20"/>
        </w:rPr>
        <w:t xml:space="preserve"> </w:t>
      </w:r>
      <w:r>
        <w:rPr>
          <w:rFonts w:hint="eastAsia" w:ascii="宋体" w:hAnsi="宋体"/>
          <w:kern w:val="0"/>
          <w:szCs w:val="20"/>
        </w:rPr>
        <w:t>保证中标之后按招标文件要求向招标项目配置承诺的资源，否则，同意接受违约处罚并</w:t>
      </w:r>
      <w:r>
        <w:rPr>
          <w:rFonts w:hint="eastAsia" w:ascii="宋体" w:hAnsi="宋体"/>
        </w:rPr>
        <w:t>不予退还</w:t>
      </w:r>
      <w:r>
        <w:rPr>
          <w:rFonts w:hint="eastAsia" w:ascii="宋体" w:hAnsi="宋体"/>
          <w:kern w:val="0"/>
          <w:szCs w:val="20"/>
        </w:rPr>
        <w:t>投标担保。</w:t>
      </w:r>
    </w:p>
    <w:p w14:paraId="3BACCC53">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9.</w:t>
      </w:r>
      <w:r>
        <w:rPr>
          <w:rFonts w:ascii="宋体" w:hAnsi="宋体"/>
          <w:kern w:val="0"/>
          <w:szCs w:val="20"/>
        </w:rPr>
        <w:t xml:space="preserve"> </w:t>
      </w:r>
      <w:r>
        <w:rPr>
          <w:rFonts w:hint="eastAsia" w:ascii="宋体" w:hAnsi="宋体"/>
          <w:kern w:val="0"/>
          <w:szCs w:val="20"/>
        </w:rPr>
        <w:t>保证中标之后密切配合招标人开展工作，接受招标人的监督管理。</w:t>
      </w:r>
    </w:p>
    <w:p w14:paraId="4650A00A">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10.</w:t>
      </w:r>
      <w:r>
        <w:rPr>
          <w:rFonts w:ascii="宋体" w:hAnsi="宋体"/>
          <w:kern w:val="0"/>
          <w:szCs w:val="20"/>
        </w:rPr>
        <w:t xml:space="preserve"> </w:t>
      </w:r>
      <w:r>
        <w:rPr>
          <w:rFonts w:hint="eastAsia" w:ascii="宋体" w:hAnsi="宋体"/>
          <w:kern w:val="0"/>
          <w:szCs w:val="20"/>
        </w:rPr>
        <w:t>保证按招标文件及采购合同约定的原则处理采购调整事宜，不发生签署采购合同之后恶意索赔的行为。</w:t>
      </w:r>
    </w:p>
    <w:p w14:paraId="52E2B599">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11.</w:t>
      </w:r>
      <w:r>
        <w:rPr>
          <w:rFonts w:hint="eastAsia" w:ascii="宋体" w:hAnsi="宋体"/>
          <w:b/>
          <w:bCs/>
          <w:kern w:val="0"/>
          <w:szCs w:val="20"/>
        </w:rPr>
        <w:t>我方承诺</w:t>
      </w:r>
      <w:r>
        <w:rPr>
          <w:rFonts w:hint="eastAsia" w:ascii="宋体" w:hAnsi="宋体" w:cs="宋体"/>
          <w:b/>
          <w:kern w:val="0"/>
          <w:szCs w:val="21"/>
        </w:rPr>
        <w:t>中标之后，在家具成品制作完成后，招标人有权将指定的成品家具交由招标人独立委托的第三方检测机构进行抽样检测并合格（如需破坏性试验，实验结果为合格，由招标人承担家具破损费用；实验结果为不合格，由中标人承担家具破损费用）。</w:t>
      </w:r>
    </w:p>
    <w:p w14:paraId="743BB10F">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12.</w:t>
      </w:r>
      <w:r>
        <w:rPr>
          <w:rFonts w:hint="eastAsia" w:ascii="宋体" w:hAnsi="宋体"/>
          <w:b/>
          <w:bCs/>
          <w:kern w:val="0"/>
          <w:szCs w:val="20"/>
        </w:rPr>
        <w:t>我方承诺</w:t>
      </w:r>
      <w:r>
        <w:rPr>
          <w:rFonts w:hint="eastAsia" w:ascii="宋体" w:hAnsi="宋体" w:cs="宋体"/>
          <w:b/>
          <w:kern w:val="0"/>
          <w:szCs w:val="21"/>
        </w:rPr>
        <w:t>中标之后，</w:t>
      </w:r>
      <w:r>
        <w:rPr>
          <w:rFonts w:hint="eastAsia" w:ascii="宋体" w:hAnsi="宋体" w:cs="宋体"/>
          <w:b/>
          <w:bCs/>
          <w:kern w:val="0"/>
          <w:szCs w:val="21"/>
        </w:rPr>
        <w:t>合同签订后</w:t>
      </w:r>
      <w:r>
        <w:rPr>
          <w:rFonts w:hint="eastAsia" w:ascii="宋体" w:hAnsi="宋体" w:cs="宋体"/>
          <w:b/>
          <w:kern w:val="0"/>
          <w:szCs w:val="21"/>
        </w:rPr>
        <w:t>我方负责家具工艺及具体尺寸的深化，按深化设计要求订制加工家具产品，生产过程中的品质监督。在生产家具前，必须先提供材料及成品样板（除另外说明的）给招标人，待确认后才进行订购或生产。</w:t>
      </w:r>
    </w:p>
    <w:p w14:paraId="1DB5B97F">
      <w:pPr>
        <w:widowControl/>
        <w:snapToGrid w:val="0"/>
        <w:spacing w:line="360" w:lineRule="auto"/>
        <w:ind w:firstLine="420" w:firstLineChars="200"/>
        <w:jc w:val="left"/>
        <w:rPr>
          <w:rFonts w:hint="eastAsia" w:ascii="宋体" w:hAnsi="宋体"/>
          <w:kern w:val="0"/>
          <w:szCs w:val="20"/>
        </w:rPr>
      </w:pPr>
      <w:r>
        <w:rPr>
          <w:rFonts w:hint="eastAsia" w:ascii="宋体" w:hAnsi="宋体"/>
          <w:kern w:val="0"/>
          <w:szCs w:val="20"/>
        </w:rPr>
        <w:t>本投标人在规定的投标有效期限内，将受招标文件的约束并履行投标文件的承诺。</w:t>
      </w:r>
    </w:p>
    <w:p w14:paraId="2C76B18D">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4E9FC17F">
      <w:pPr>
        <w:spacing w:after="120" w:line="360" w:lineRule="exact"/>
        <w:jc w:val="left"/>
        <w:rPr>
          <w:szCs w:val="21"/>
        </w:rPr>
      </w:pPr>
      <w:r>
        <w:rPr>
          <w:rFonts w:hint="eastAsia"/>
          <w:szCs w:val="21"/>
        </w:rPr>
        <w:t>日期：   年   月   日</w:t>
      </w:r>
      <w:bookmarkEnd w:id="37"/>
    </w:p>
    <w:p w14:paraId="33E3E615">
      <w:pPr>
        <w:widowControl/>
        <w:jc w:val="left"/>
        <w:rPr>
          <w:rFonts w:ascii="Times New Roman" w:hAnsi="Times New Roman"/>
          <w:b/>
          <w:bCs/>
          <w:sz w:val="28"/>
          <w:szCs w:val="28"/>
        </w:rPr>
      </w:pPr>
      <w:r>
        <w:rPr>
          <w:rFonts w:ascii="Times New Roman" w:hAnsi="Times New Roman"/>
          <w:b/>
          <w:bCs/>
          <w:sz w:val="28"/>
          <w:szCs w:val="28"/>
        </w:rPr>
        <w:br w:type="page"/>
      </w:r>
    </w:p>
    <w:p w14:paraId="62015A96">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3.6 投标人认为需提供的其他资料（如有）</w:t>
      </w:r>
    </w:p>
    <w:p w14:paraId="097D2BE5">
      <w:pPr>
        <w:keepNext/>
        <w:keepLines/>
        <w:widowControl/>
        <w:spacing w:after="156" w:afterLines="50" w:line="413" w:lineRule="auto"/>
        <w:outlineLvl w:val="1"/>
        <w:rPr>
          <w:rFonts w:ascii="Times New Roman" w:hAnsi="Times New Roman"/>
          <w:b/>
          <w:bCs/>
          <w:kern w:val="0"/>
          <w:sz w:val="32"/>
          <w:szCs w:val="32"/>
        </w:rPr>
      </w:pPr>
      <w:r>
        <w:rPr>
          <w:rFonts w:ascii="Arial" w:hAnsi="Arial" w:eastAsia="黑体"/>
          <w:b/>
          <w:bCs/>
          <w:kern w:val="0"/>
          <w:sz w:val="24"/>
          <w:szCs w:val="24"/>
        </w:rPr>
        <w:br w:type="page"/>
      </w:r>
      <w:bookmarkStart w:id="38" w:name="_Hlk76483900"/>
      <w:bookmarkStart w:id="39" w:name="_Hlk52290731"/>
      <w:r>
        <w:rPr>
          <w:rFonts w:hint="eastAsia" w:ascii="Times New Roman" w:hAnsi="Times New Roman"/>
          <w:b/>
          <w:bCs/>
          <w:kern w:val="0"/>
          <w:sz w:val="32"/>
          <w:szCs w:val="32"/>
        </w:rPr>
        <w:t>四、商务部分</w:t>
      </w:r>
    </w:p>
    <w:p w14:paraId="45647F28">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4.1</w:t>
      </w:r>
      <w:r>
        <w:rPr>
          <w:rFonts w:ascii="Times New Roman" w:hAnsi="Times New Roman"/>
          <w:b/>
          <w:bCs/>
          <w:sz w:val="28"/>
          <w:szCs w:val="28"/>
        </w:rPr>
        <w:t xml:space="preserve"> </w:t>
      </w:r>
      <w:r>
        <w:rPr>
          <w:rFonts w:hint="eastAsia" w:ascii="Times New Roman" w:hAnsi="Times New Roman"/>
          <w:b/>
          <w:bCs/>
          <w:sz w:val="28"/>
          <w:szCs w:val="28"/>
        </w:rPr>
        <w:t>投标人概况</w:t>
      </w:r>
    </w:p>
    <w:tbl>
      <w:tblPr>
        <w:tblStyle w:val="22"/>
        <w:tblW w:w="8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87"/>
        <w:gridCol w:w="954"/>
        <w:gridCol w:w="1623"/>
        <w:gridCol w:w="709"/>
        <w:gridCol w:w="1864"/>
      </w:tblGrid>
      <w:tr w14:paraId="286C9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681" w:type="dxa"/>
            <w:vAlign w:val="center"/>
          </w:tcPr>
          <w:p w14:paraId="45B86831">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企业注册名称</w:t>
            </w:r>
          </w:p>
        </w:tc>
        <w:tc>
          <w:tcPr>
            <w:tcW w:w="7237" w:type="dxa"/>
            <w:gridSpan w:val="5"/>
            <w:vAlign w:val="center"/>
          </w:tcPr>
          <w:p w14:paraId="093201AF">
            <w:pPr>
              <w:tabs>
                <w:tab w:val="left" w:pos="540"/>
              </w:tabs>
              <w:ind w:left="-132" w:leftChars="-64" w:right="-105" w:rightChars="-50" w:hanging="2"/>
              <w:jc w:val="center"/>
              <w:rPr>
                <w:rFonts w:hint="eastAsia" w:ascii="宋体" w:hAnsi="宋体" w:cs="宋体"/>
                <w:szCs w:val="21"/>
              </w:rPr>
            </w:pPr>
          </w:p>
        </w:tc>
      </w:tr>
      <w:tr w14:paraId="026E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681" w:type="dxa"/>
            <w:vAlign w:val="center"/>
          </w:tcPr>
          <w:p w14:paraId="73B35619">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纳税人主体资格</w:t>
            </w:r>
          </w:p>
        </w:tc>
        <w:tc>
          <w:tcPr>
            <w:tcW w:w="7237" w:type="dxa"/>
            <w:gridSpan w:val="5"/>
            <w:vAlign w:val="center"/>
          </w:tcPr>
          <w:p w14:paraId="5007B9A4">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sym w:font="Wingdings" w:char="00A8"/>
            </w:r>
            <w:r>
              <w:rPr>
                <w:rFonts w:hint="eastAsia" w:ascii="宋体" w:hAnsi="宋体" w:cs="宋体"/>
                <w:szCs w:val="21"/>
              </w:rPr>
              <w:t xml:space="preserve">一般纳税人   /     </w:t>
            </w:r>
            <w:r>
              <w:rPr>
                <w:rFonts w:hint="eastAsia" w:ascii="宋体" w:hAnsi="宋体" w:cs="宋体"/>
                <w:szCs w:val="21"/>
              </w:rPr>
              <w:sym w:font="Wingdings" w:char="00A8"/>
            </w:r>
            <w:r>
              <w:rPr>
                <w:rFonts w:hint="eastAsia" w:ascii="宋体" w:hAnsi="宋体" w:cs="宋体"/>
                <w:szCs w:val="21"/>
              </w:rPr>
              <w:t>小规模纳税人</w:t>
            </w:r>
          </w:p>
        </w:tc>
      </w:tr>
      <w:tr w14:paraId="7C028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681" w:type="dxa"/>
            <w:vAlign w:val="center"/>
          </w:tcPr>
          <w:p w14:paraId="4AB25638">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地址</w:t>
            </w:r>
          </w:p>
        </w:tc>
        <w:tc>
          <w:tcPr>
            <w:tcW w:w="7237" w:type="dxa"/>
            <w:gridSpan w:val="5"/>
            <w:vAlign w:val="center"/>
          </w:tcPr>
          <w:p w14:paraId="47CE5B03">
            <w:pPr>
              <w:tabs>
                <w:tab w:val="left" w:pos="540"/>
              </w:tabs>
              <w:ind w:left="-132" w:leftChars="-64" w:right="-105" w:rightChars="-50" w:hanging="2"/>
              <w:jc w:val="center"/>
              <w:rPr>
                <w:rFonts w:hint="eastAsia" w:ascii="宋体" w:hAnsi="宋体" w:cs="宋体"/>
                <w:szCs w:val="21"/>
              </w:rPr>
            </w:pPr>
          </w:p>
        </w:tc>
      </w:tr>
      <w:tr w14:paraId="18AEA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681" w:type="dxa"/>
            <w:vAlign w:val="center"/>
          </w:tcPr>
          <w:p w14:paraId="119DEEE9">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主管部门</w:t>
            </w:r>
          </w:p>
        </w:tc>
        <w:tc>
          <w:tcPr>
            <w:tcW w:w="2087" w:type="dxa"/>
            <w:vAlign w:val="center"/>
          </w:tcPr>
          <w:p w14:paraId="01F74C77">
            <w:pPr>
              <w:tabs>
                <w:tab w:val="left" w:pos="540"/>
              </w:tabs>
              <w:ind w:left="-132" w:leftChars="-64" w:right="-105" w:rightChars="-50" w:hanging="2"/>
              <w:jc w:val="center"/>
              <w:rPr>
                <w:rFonts w:hint="eastAsia" w:ascii="宋体" w:hAnsi="宋体" w:cs="宋体"/>
                <w:szCs w:val="21"/>
              </w:rPr>
            </w:pPr>
          </w:p>
        </w:tc>
        <w:tc>
          <w:tcPr>
            <w:tcW w:w="954" w:type="dxa"/>
            <w:vAlign w:val="center"/>
          </w:tcPr>
          <w:p w14:paraId="4E868633">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法人代表</w:t>
            </w:r>
          </w:p>
        </w:tc>
        <w:tc>
          <w:tcPr>
            <w:tcW w:w="1623" w:type="dxa"/>
            <w:vAlign w:val="center"/>
          </w:tcPr>
          <w:p w14:paraId="55FA1053">
            <w:pPr>
              <w:tabs>
                <w:tab w:val="left" w:pos="540"/>
              </w:tabs>
              <w:ind w:left="-132" w:leftChars="-64" w:right="-105" w:rightChars="-50" w:hanging="2"/>
              <w:jc w:val="center"/>
              <w:rPr>
                <w:rFonts w:hint="eastAsia" w:ascii="宋体" w:hAnsi="宋体" w:cs="宋体"/>
                <w:szCs w:val="21"/>
              </w:rPr>
            </w:pPr>
          </w:p>
        </w:tc>
        <w:tc>
          <w:tcPr>
            <w:tcW w:w="709" w:type="dxa"/>
            <w:vAlign w:val="center"/>
          </w:tcPr>
          <w:p w14:paraId="4937DEF0">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职务</w:t>
            </w:r>
          </w:p>
        </w:tc>
        <w:tc>
          <w:tcPr>
            <w:tcW w:w="1864" w:type="dxa"/>
          </w:tcPr>
          <w:p w14:paraId="5747A71B">
            <w:pPr>
              <w:tabs>
                <w:tab w:val="left" w:pos="540"/>
              </w:tabs>
              <w:ind w:left="-132" w:leftChars="-64" w:right="-105" w:rightChars="-50" w:hanging="2"/>
              <w:jc w:val="center"/>
              <w:rPr>
                <w:rFonts w:hint="eastAsia" w:ascii="宋体" w:hAnsi="宋体" w:cs="宋体"/>
                <w:szCs w:val="21"/>
              </w:rPr>
            </w:pPr>
          </w:p>
        </w:tc>
      </w:tr>
      <w:tr w14:paraId="09250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681" w:type="dxa"/>
            <w:vAlign w:val="center"/>
          </w:tcPr>
          <w:p w14:paraId="7409BA92">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经济类型</w:t>
            </w:r>
          </w:p>
        </w:tc>
        <w:tc>
          <w:tcPr>
            <w:tcW w:w="2087" w:type="dxa"/>
            <w:vAlign w:val="center"/>
          </w:tcPr>
          <w:p w14:paraId="66DEEB58">
            <w:pPr>
              <w:tabs>
                <w:tab w:val="left" w:pos="540"/>
              </w:tabs>
              <w:ind w:left="-132" w:leftChars="-64" w:right="-105" w:rightChars="-50" w:hanging="2"/>
              <w:jc w:val="center"/>
              <w:rPr>
                <w:rFonts w:hint="eastAsia" w:ascii="宋体" w:hAnsi="宋体" w:cs="宋体"/>
                <w:szCs w:val="21"/>
              </w:rPr>
            </w:pPr>
          </w:p>
        </w:tc>
        <w:tc>
          <w:tcPr>
            <w:tcW w:w="954" w:type="dxa"/>
            <w:vAlign w:val="center"/>
          </w:tcPr>
          <w:p w14:paraId="5A80EDE2">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授权代表</w:t>
            </w:r>
          </w:p>
        </w:tc>
        <w:tc>
          <w:tcPr>
            <w:tcW w:w="1623" w:type="dxa"/>
            <w:vAlign w:val="center"/>
          </w:tcPr>
          <w:p w14:paraId="433318AA">
            <w:pPr>
              <w:tabs>
                <w:tab w:val="left" w:pos="540"/>
              </w:tabs>
              <w:ind w:left="-132" w:leftChars="-64" w:right="-105" w:rightChars="-50" w:hanging="2"/>
              <w:jc w:val="center"/>
              <w:rPr>
                <w:rFonts w:hint="eastAsia" w:ascii="宋体" w:hAnsi="宋体" w:cs="宋体"/>
                <w:szCs w:val="21"/>
              </w:rPr>
            </w:pPr>
          </w:p>
        </w:tc>
        <w:tc>
          <w:tcPr>
            <w:tcW w:w="709" w:type="dxa"/>
            <w:vAlign w:val="center"/>
          </w:tcPr>
          <w:p w14:paraId="250E27E7">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职务</w:t>
            </w:r>
          </w:p>
        </w:tc>
        <w:tc>
          <w:tcPr>
            <w:tcW w:w="1864" w:type="dxa"/>
          </w:tcPr>
          <w:p w14:paraId="5C5337F9">
            <w:pPr>
              <w:tabs>
                <w:tab w:val="left" w:pos="540"/>
              </w:tabs>
              <w:ind w:left="-132" w:leftChars="-64" w:right="-105" w:rightChars="-50" w:hanging="2"/>
              <w:jc w:val="center"/>
              <w:rPr>
                <w:rFonts w:hint="eastAsia" w:ascii="宋体" w:hAnsi="宋体" w:cs="宋体"/>
                <w:szCs w:val="21"/>
              </w:rPr>
            </w:pPr>
          </w:p>
        </w:tc>
      </w:tr>
      <w:tr w14:paraId="7405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681" w:type="dxa"/>
            <w:vAlign w:val="center"/>
          </w:tcPr>
          <w:p w14:paraId="14AC50B9">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邮编</w:t>
            </w:r>
          </w:p>
        </w:tc>
        <w:tc>
          <w:tcPr>
            <w:tcW w:w="2087" w:type="dxa"/>
            <w:vAlign w:val="center"/>
          </w:tcPr>
          <w:p w14:paraId="10EAF039">
            <w:pPr>
              <w:tabs>
                <w:tab w:val="left" w:pos="540"/>
              </w:tabs>
              <w:ind w:left="-132" w:leftChars="-64" w:right="-105" w:rightChars="-50" w:hanging="2"/>
              <w:jc w:val="center"/>
              <w:rPr>
                <w:rFonts w:hint="eastAsia" w:ascii="宋体" w:hAnsi="宋体" w:cs="宋体"/>
                <w:szCs w:val="21"/>
              </w:rPr>
            </w:pPr>
          </w:p>
        </w:tc>
        <w:tc>
          <w:tcPr>
            <w:tcW w:w="954" w:type="dxa"/>
            <w:vAlign w:val="center"/>
          </w:tcPr>
          <w:p w14:paraId="5DB38314">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电话</w:t>
            </w:r>
          </w:p>
        </w:tc>
        <w:tc>
          <w:tcPr>
            <w:tcW w:w="1623" w:type="dxa"/>
            <w:vAlign w:val="center"/>
          </w:tcPr>
          <w:p w14:paraId="16C59D3A">
            <w:pPr>
              <w:tabs>
                <w:tab w:val="left" w:pos="540"/>
              </w:tabs>
              <w:ind w:left="-132" w:leftChars="-64" w:right="-105" w:rightChars="-50" w:hanging="2"/>
              <w:jc w:val="center"/>
              <w:rPr>
                <w:rFonts w:hint="eastAsia" w:ascii="宋体" w:hAnsi="宋体" w:cs="宋体"/>
                <w:szCs w:val="21"/>
              </w:rPr>
            </w:pPr>
          </w:p>
        </w:tc>
        <w:tc>
          <w:tcPr>
            <w:tcW w:w="709" w:type="dxa"/>
            <w:vAlign w:val="center"/>
          </w:tcPr>
          <w:p w14:paraId="3FA3FD4C">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传真</w:t>
            </w:r>
          </w:p>
        </w:tc>
        <w:tc>
          <w:tcPr>
            <w:tcW w:w="1864" w:type="dxa"/>
          </w:tcPr>
          <w:p w14:paraId="7D2A581B">
            <w:pPr>
              <w:tabs>
                <w:tab w:val="left" w:pos="540"/>
              </w:tabs>
              <w:ind w:left="-132" w:leftChars="-64" w:right="-105" w:rightChars="-50" w:hanging="2"/>
              <w:jc w:val="center"/>
              <w:rPr>
                <w:rFonts w:hint="eastAsia" w:ascii="宋体" w:hAnsi="宋体" w:cs="宋体"/>
                <w:szCs w:val="21"/>
              </w:rPr>
            </w:pPr>
          </w:p>
        </w:tc>
      </w:tr>
      <w:tr w14:paraId="5CFDB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681" w:type="dxa"/>
            <w:vAlign w:val="center"/>
          </w:tcPr>
          <w:p w14:paraId="19E53889">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单位简介及机构</w:t>
            </w:r>
          </w:p>
          <w:p w14:paraId="6A1054B6">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设置</w:t>
            </w:r>
          </w:p>
        </w:tc>
        <w:tc>
          <w:tcPr>
            <w:tcW w:w="7237" w:type="dxa"/>
            <w:gridSpan w:val="5"/>
          </w:tcPr>
          <w:p w14:paraId="0505C5A6">
            <w:pPr>
              <w:ind w:left="-97" w:leftChars="-47" w:hanging="2"/>
              <w:jc w:val="left"/>
              <w:rPr>
                <w:rFonts w:hint="eastAsia" w:ascii="宋体" w:hAnsi="宋体" w:cs="宋体"/>
                <w:szCs w:val="21"/>
              </w:rPr>
            </w:pPr>
            <w:r>
              <w:rPr>
                <w:rFonts w:hint="eastAsia" w:ascii="宋体" w:hAnsi="宋体" w:cs="宋体"/>
                <w:szCs w:val="21"/>
              </w:rPr>
              <w:tab/>
            </w:r>
          </w:p>
        </w:tc>
      </w:tr>
      <w:tr w14:paraId="359E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trPr>
        <w:tc>
          <w:tcPr>
            <w:tcW w:w="1681" w:type="dxa"/>
            <w:vAlign w:val="center"/>
          </w:tcPr>
          <w:p w14:paraId="56E13E1D">
            <w:pPr>
              <w:tabs>
                <w:tab w:val="left" w:pos="540"/>
              </w:tabs>
              <w:ind w:left="-132" w:leftChars="-64" w:right="-105" w:rightChars="-50" w:hanging="2"/>
              <w:jc w:val="center"/>
              <w:rPr>
                <w:rFonts w:hint="eastAsia" w:ascii="宋体" w:hAnsi="宋体" w:cs="宋体"/>
                <w:szCs w:val="21"/>
              </w:rPr>
            </w:pPr>
            <w:r>
              <w:rPr>
                <w:rFonts w:hint="eastAsia" w:ascii="宋体" w:hAnsi="宋体" w:cs="宋体"/>
                <w:szCs w:val="21"/>
              </w:rPr>
              <w:t>单位优势及特长</w:t>
            </w:r>
          </w:p>
        </w:tc>
        <w:tc>
          <w:tcPr>
            <w:tcW w:w="7237" w:type="dxa"/>
            <w:gridSpan w:val="5"/>
          </w:tcPr>
          <w:p w14:paraId="32A8E35B">
            <w:pPr>
              <w:tabs>
                <w:tab w:val="left" w:pos="540"/>
              </w:tabs>
              <w:ind w:left="-97" w:leftChars="-47" w:hanging="2"/>
              <w:jc w:val="left"/>
              <w:rPr>
                <w:rFonts w:hint="eastAsia" w:ascii="宋体" w:hAnsi="宋体" w:cs="宋体"/>
                <w:szCs w:val="21"/>
              </w:rPr>
            </w:pPr>
          </w:p>
        </w:tc>
      </w:tr>
    </w:tbl>
    <w:p w14:paraId="3B2E25A8">
      <w:pPr>
        <w:spacing w:before="25" w:after="25"/>
        <w:ind w:left="840" w:hanging="840" w:hangingChars="400"/>
        <w:rPr>
          <w:rFonts w:hint="eastAsia" w:ascii="宋体" w:hAnsi="宋体"/>
          <w:bCs/>
          <w:kern w:val="0"/>
          <w:szCs w:val="21"/>
          <w:lang w:val="en-GB"/>
        </w:rPr>
      </w:pPr>
      <w:r>
        <w:rPr>
          <w:rFonts w:ascii="宋体" w:hAnsi="宋体"/>
          <w:bCs/>
          <w:kern w:val="0"/>
          <w:szCs w:val="21"/>
          <w:lang w:val="en-GB"/>
        </w:rPr>
        <w:t>注：1）文字描述：单位性质、发展历程、经营规模及理念、主营产品、技术力量等。</w:t>
      </w:r>
    </w:p>
    <w:p w14:paraId="463CE0C9">
      <w:pPr>
        <w:spacing w:before="25" w:after="25"/>
        <w:ind w:left="840" w:leftChars="200" w:hanging="420" w:hangingChars="200"/>
        <w:rPr>
          <w:rFonts w:hint="eastAsia" w:ascii="宋体" w:hAnsi="宋体"/>
          <w:bCs/>
          <w:kern w:val="0"/>
          <w:szCs w:val="21"/>
          <w:lang w:val="en-GB"/>
        </w:rPr>
      </w:pPr>
      <w:r>
        <w:rPr>
          <w:rFonts w:ascii="宋体" w:hAnsi="宋体"/>
          <w:bCs/>
          <w:kern w:val="0"/>
          <w:szCs w:val="21"/>
          <w:lang w:val="en-GB"/>
        </w:rPr>
        <w:t>2) 图片描述：经营场所、主要或关键产品介绍、生产场所及工艺流程等。</w:t>
      </w:r>
    </w:p>
    <w:p w14:paraId="5F9B2805">
      <w:pPr>
        <w:tabs>
          <w:tab w:val="left" w:pos="540"/>
        </w:tabs>
        <w:ind w:firstLine="420" w:firstLineChars="200"/>
        <w:rPr>
          <w:rFonts w:hint="eastAsia" w:ascii="宋体" w:hAnsi="宋体"/>
          <w:szCs w:val="21"/>
        </w:rPr>
      </w:pPr>
      <w:r>
        <w:rPr>
          <w:rFonts w:ascii="宋体" w:hAnsi="宋体"/>
          <w:bCs/>
          <w:szCs w:val="21"/>
          <w:lang w:val="en-GB"/>
        </w:rPr>
        <w:t xml:space="preserve">3) </w:t>
      </w:r>
      <w:r>
        <w:rPr>
          <w:rFonts w:ascii="宋体" w:hAnsi="宋体"/>
          <w:szCs w:val="21"/>
          <w:lang w:val="en-GB"/>
        </w:rPr>
        <w:t>如报价人此表数据有虚假，一经查实，自行承担相关责任。</w:t>
      </w:r>
    </w:p>
    <w:p w14:paraId="65BEF2D9">
      <w:pPr>
        <w:tabs>
          <w:tab w:val="left" w:pos="540"/>
        </w:tabs>
        <w:rPr>
          <w:rFonts w:hint="eastAsia" w:ascii="宋体" w:hAnsi="宋体"/>
          <w:szCs w:val="21"/>
          <w:lang w:val="en-GB"/>
        </w:rPr>
      </w:pPr>
      <w:r>
        <w:rPr>
          <w:rFonts w:hint="eastAsia" w:ascii="宋体" w:hAnsi="宋体"/>
          <w:bCs/>
          <w:szCs w:val="21"/>
          <w:lang w:val="en-GB"/>
        </w:rPr>
        <w:t xml:space="preserve">    </w:t>
      </w:r>
    </w:p>
    <w:p w14:paraId="325CCCB3">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34A0E159">
      <w:pPr>
        <w:spacing w:after="120" w:line="360" w:lineRule="exact"/>
        <w:jc w:val="left"/>
        <w:rPr>
          <w:rFonts w:hint="eastAsia" w:ascii="宋体" w:hAnsi="宋体"/>
          <w:spacing w:val="10"/>
          <w:kern w:val="0"/>
          <w:szCs w:val="21"/>
        </w:rPr>
      </w:pPr>
      <w:r>
        <w:rPr>
          <w:rFonts w:hint="eastAsia"/>
          <w:szCs w:val="21"/>
        </w:rPr>
        <w:t>日期：   年   月   日</w:t>
      </w:r>
    </w:p>
    <w:p w14:paraId="47FB295A">
      <w:pPr>
        <w:widowControl/>
        <w:jc w:val="left"/>
        <w:rPr>
          <w:rFonts w:ascii="Times New Roman" w:hAnsi="Times New Roman"/>
          <w:b/>
          <w:bCs/>
          <w:sz w:val="28"/>
          <w:szCs w:val="28"/>
        </w:rPr>
      </w:pPr>
      <w:r>
        <w:rPr>
          <w:rFonts w:ascii="Times New Roman" w:hAnsi="Times New Roman"/>
          <w:b/>
          <w:bCs/>
          <w:sz w:val="28"/>
          <w:szCs w:val="28"/>
        </w:rPr>
        <w:br w:type="page"/>
      </w:r>
    </w:p>
    <w:p w14:paraId="45836213">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4.2</w:t>
      </w:r>
      <w:r>
        <w:rPr>
          <w:rFonts w:ascii="Times New Roman" w:hAnsi="Times New Roman"/>
          <w:b/>
          <w:bCs/>
          <w:sz w:val="28"/>
          <w:szCs w:val="28"/>
        </w:rPr>
        <w:t xml:space="preserve"> </w:t>
      </w:r>
      <w:r>
        <w:rPr>
          <w:rFonts w:hint="eastAsia" w:ascii="Times New Roman" w:hAnsi="Times New Roman"/>
          <w:b/>
          <w:bCs/>
          <w:sz w:val="28"/>
          <w:szCs w:val="28"/>
        </w:rPr>
        <w:t>商务条款响应表</w:t>
      </w:r>
    </w:p>
    <w:p w14:paraId="31EFB40B">
      <w:pPr>
        <w:rPr>
          <w:szCs w:val="21"/>
        </w:rPr>
      </w:pPr>
    </w:p>
    <w:p w14:paraId="7DF7D093">
      <w:pPr>
        <w:spacing w:line="360" w:lineRule="auto"/>
        <w:jc w:val="center"/>
        <w:rPr>
          <w:rFonts w:ascii="宋体"/>
          <w:b/>
          <w:bCs/>
          <w:sz w:val="28"/>
        </w:rPr>
      </w:pPr>
      <w:r>
        <w:rPr>
          <w:rFonts w:hint="eastAsia" w:ascii="宋体"/>
          <w:b/>
          <w:bCs/>
          <w:sz w:val="28"/>
        </w:rPr>
        <w:fldChar w:fldCharType="begin"/>
      </w:r>
      <w:r>
        <w:rPr>
          <w:rFonts w:hint="eastAsia" w:ascii="宋体"/>
          <w:b/>
          <w:bCs/>
          <w:sz w:val="28"/>
        </w:rPr>
        <w:instrText xml:space="preserve"> DOCVARIABLE  商务条款响应表开始  \* MERGEFORMAT </w:instrText>
      </w:r>
      <w:r>
        <w:rPr>
          <w:rFonts w:hint="eastAsia" w:ascii="宋体"/>
          <w:b/>
          <w:bCs/>
          <w:sz w:val="28"/>
        </w:rPr>
        <w:fldChar w:fldCharType="end"/>
      </w:r>
      <w:r>
        <w:rPr>
          <w:rFonts w:hint="eastAsia" w:ascii="宋体"/>
          <w:b/>
          <w:bCs/>
          <w:sz w:val="28"/>
        </w:rPr>
        <w:fldChar w:fldCharType="begin"/>
      </w:r>
      <w:r>
        <w:rPr>
          <w:rFonts w:hint="eastAsia" w:ascii="宋体"/>
          <w:b/>
          <w:bCs/>
          <w:sz w:val="28"/>
        </w:rPr>
        <w:instrText xml:space="preserve"> DOCVARIABLE  商务条款响应表开始  \* MERGEFORMAT </w:instrText>
      </w:r>
      <w:r>
        <w:rPr>
          <w:rFonts w:hint="eastAsia" w:ascii="宋体"/>
          <w:b/>
          <w:bCs/>
          <w:sz w:val="28"/>
        </w:rPr>
        <w:fldChar w:fldCharType="end"/>
      </w:r>
      <w:r>
        <w:rPr>
          <w:rFonts w:hint="eastAsia" w:ascii="宋体"/>
          <w:b/>
          <w:bCs/>
          <w:sz w:val="28"/>
        </w:rPr>
        <w:t>商务条款响应表</w:t>
      </w:r>
    </w:p>
    <w:tbl>
      <w:tblPr>
        <w:tblStyle w:val="22"/>
        <w:tblW w:w="9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5901"/>
        <w:gridCol w:w="767"/>
        <w:gridCol w:w="2042"/>
      </w:tblGrid>
      <w:tr w14:paraId="1BE19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692" w:type="dxa"/>
            <w:vAlign w:val="center"/>
          </w:tcPr>
          <w:p w14:paraId="08AE4156">
            <w:pPr>
              <w:jc w:val="center"/>
              <w:rPr>
                <w:bCs/>
                <w:szCs w:val="21"/>
              </w:rPr>
            </w:pPr>
            <w:r>
              <w:rPr>
                <w:rFonts w:hint="eastAsia"/>
                <w:bCs/>
                <w:szCs w:val="21"/>
              </w:rPr>
              <w:t>序号</w:t>
            </w:r>
          </w:p>
        </w:tc>
        <w:tc>
          <w:tcPr>
            <w:tcW w:w="5901" w:type="dxa"/>
            <w:vAlign w:val="center"/>
          </w:tcPr>
          <w:p w14:paraId="2CCC3AA1">
            <w:pPr>
              <w:jc w:val="center"/>
              <w:rPr>
                <w:bCs/>
                <w:szCs w:val="21"/>
              </w:rPr>
            </w:pPr>
            <w:r>
              <w:rPr>
                <w:rFonts w:hint="eastAsia"/>
                <w:bCs/>
                <w:szCs w:val="21"/>
              </w:rPr>
              <w:t>商务条款要求</w:t>
            </w:r>
          </w:p>
        </w:tc>
        <w:tc>
          <w:tcPr>
            <w:tcW w:w="767" w:type="dxa"/>
            <w:vAlign w:val="center"/>
          </w:tcPr>
          <w:p w14:paraId="418AED77">
            <w:pPr>
              <w:jc w:val="center"/>
              <w:rPr>
                <w:bCs/>
                <w:szCs w:val="21"/>
              </w:rPr>
            </w:pPr>
            <w:r>
              <w:rPr>
                <w:rFonts w:hint="eastAsia"/>
                <w:bCs/>
                <w:szCs w:val="21"/>
              </w:rPr>
              <w:t>是否响应</w:t>
            </w:r>
          </w:p>
        </w:tc>
        <w:tc>
          <w:tcPr>
            <w:tcW w:w="2042" w:type="dxa"/>
            <w:vAlign w:val="center"/>
          </w:tcPr>
          <w:p w14:paraId="53904D9A">
            <w:pPr>
              <w:jc w:val="center"/>
              <w:rPr>
                <w:bCs/>
                <w:szCs w:val="21"/>
              </w:rPr>
            </w:pPr>
            <w:r>
              <w:rPr>
                <w:rFonts w:hint="eastAsia"/>
                <w:bCs/>
                <w:szCs w:val="21"/>
              </w:rPr>
              <w:t>偏离说明</w:t>
            </w:r>
          </w:p>
        </w:tc>
      </w:tr>
      <w:tr w14:paraId="73493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2" w:type="dxa"/>
            <w:vAlign w:val="center"/>
          </w:tcPr>
          <w:p w14:paraId="41B309AF">
            <w:pPr>
              <w:jc w:val="center"/>
              <w:rPr>
                <w:szCs w:val="21"/>
              </w:rPr>
            </w:pPr>
            <w:r>
              <w:rPr>
                <w:rFonts w:hint="eastAsia" w:ascii="宋体" w:hAnsi="宋体"/>
                <w:szCs w:val="21"/>
                <w:lang w:val="en-GB"/>
              </w:rPr>
              <w:t>1</w:t>
            </w:r>
          </w:p>
        </w:tc>
        <w:tc>
          <w:tcPr>
            <w:tcW w:w="5901" w:type="dxa"/>
            <w:vAlign w:val="center"/>
          </w:tcPr>
          <w:p w14:paraId="755B067B">
            <w:pPr>
              <w:rPr>
                <w:i/>
                <w:szCs w:val="21"/>
              </w:rPr>
            </w:pPr>
            <w:r>
              <w:rPr>
                <w:rFonts w:hint="eastAsia" w:ascii="宋体" w:hAnsi="宋体"/>
                <w:szCs w:val="21"/>
                <w:lang w:val="en-GB"/>
              </w:rPr>
              <w:t>完全理解并接受合同条款要求</w:t>
            </w:r>
          </w:p>
        </w:tc>
        <w:tc>
          <w:tcPr>
            <w:tcW w:w="767" w:type="dxa"/>
            <w:vAlign w:val="center"/>
          </w:tcPr>
          <w:p w14:paraId="45BE9DB3">
            <w:pPr>
              <w:jc w:val="center"/>
              <w:rPr>
                <w:rFonts w:ascii="Times New Roman" w:hAnsi="Times New Roman"/>
                <w:szCs w:val="21"/>
              </w:rPr>
            </w:pPr>
          </w:p>
        </w:tc>
        <w:tc>
          <w:tcPr>
            <w:tcW w:w="2042" w:type="dxa"/>
            <w:vAlign w:val="center"/>
          </w:tcPr>
          <w:p w14:paraId="6D00624E">
            <w:pPr>
              <w:jc w:val="center"/>
              <w:rPr>
                <w:szCs w:val="21"/>
              </w:rPr>
            </w:pPr>
          </w:p>
        </w:tc>
      </w:tr>
      <w:tr w14:paraId="603E1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2" w:type="dxa"/>
            <w:vAlign w:val="center"/>
          </w:tcPr>
          <w:p w14:paraId="21136C8D">
            <w:pPr>
              <w:jc w:val="center"/>
              <w:rPr>
                <w:szCs w:val="21"/>
              </w:rPr>
            </w:pPr>
            <w:r>
              <w:rPr>
                <w:rFonts w:ascii="宋体" w:hAnsi="宋体"/>
                <w:szCs w:val="21"/>
                <w:lang w:val="en-GB"/>
              </w:rPr>
              <w:t>2</w:t>
            </w:r>
          </w:p>
        </w:tc>
        <w:tc>
          <w:tcPr>
            <w:tcW w:w="5901" w:type="dxa"/>
            <w:vAlign w:val="center"/>
          </w:tcPr>
          <w:p w14:paraId="3BB0740F">
            <w:pPr>
              <w:rPr>
                <w:i/>
                <w:szCs w:val="21"/>
              </w:rPr>
            </w:pPr>
            <w:r>
              <w:rPr>
                <w:rFonts w:hint="eastAsia" w:ascii="宋体" w:hAnsi="宋体"/>
                <w:szCs w:val="21"/>
                <w:lang w:val="en-GB"/>
              </w:rPr>
              <w:t>报价内容均涵盖报价要求</w:t>
            </w:r>
            <w:r>
              <w:rPr>
                <w:rFonts w:hint="eastAsia" w:ascii="宋体" w:hAnsi="宋体"/>
                <w:szCs w:val="21"/>
              </w:rPr>
              <w:t>的</w:t>
            </w:r>
            <w:r>
              <w:rPr>
                <w:rFonts w:hint="eastAsia" w:ascii="宋体" w:hAnsi="宋体"/>
                <w:szCs w:val="21"/>
                <w:lang w:val="en-GB"/>
              </w:rPr>
              <w:t>一切费用和</w:t>
            </w:r>
            <w:r>
              <w:rPr>
                <w:rFonts w:hint="eastAsia" w:ascii="宋体" w:hAnsi="宋体"/>
                <w:szCs w:val="21"/>
              </w:rPr>
              <w:t>可能产生得</w:t>
            </w:r>
            <w:r>
              <w:rPr>
                <w:rFonts w:hint="eastAsia" w:ascii="宋体" w:hAnsi="宋体"/>
                <w:szCs w:val="21"/>
                <w:lang w:val="en-GB"/>
              </w:rPr>
              <w:t>伴随</w:t>
            </w:r>
            <w:r>
              <w:rPr>
                <w:rFonts w:hint="eastAsia" w:ascii="宋体" w:hAnsi="宋体"/>
                <w:szCs w:val="21"/>
              </w:rPr>
              <w:t>费用</w:t>
            </w:r>
          </w:p>
        </w:tc>
        <w:tc>
          <w:tcPr>
            <w:tcW w:w="767" w:type="dxa"/>
            <w:vAlign w:val="center"/>
          </w:tcPr>
          <w:p w14:paraId="210152BA">
            <w:pPr>
              <w:jc w:val="center"/>
              <w:rPr>
                <w:rFonts w:ascii="Times New Roman" w:hAnsi="Times New Roman"/>
                <w:szCs w:val="21"/>
              </w:rPr>
            </w:pPr>
          </w:p>
        </w:tc>
        <w:tc>
          <w:tcPr>
            <w:tcW w:w="2042" w:type="dxa"/>
            <w:vAlign w:val="center"/>
          </w:tcPr>
          <w:p w14:paraId="1D3F7A59">
            <w:pPr>
              <w:jc w:val="center"/>
              <w:rPr>
                <w:szCs w:val="21"/>
              </w:rPr>
            </w:pPr>
          </w:p>
        </w:tc>
      </w:tr>
      <w:tr w14:paraId="5399E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92" w:type="dxa"/>
            <w:vAlign w:val="center"/>
          </w:tcPr>
          <w:p w14:paraId="353A1C2A">
            <w:pPr>
              <w:jc w:val="center"/>
              <w:rPr>
                <w:szCs w:val="21"/>
              </w:rPr>
            </w:pPr>
            <w:r>
              <w:rPr>
                <w:rFonts w:ascii="宋体" w:hAnsi="宋体"/>
                <w:szCs w:val="21"/>
                <w:lang w:val="en-GB"/>
              </w:rPr>
              <w:t>3</w:t>
            </w:r>
          </w:p>
        </w:tc>
        <w:tc>
          <w:tcPr>
            <w:tcW w:w="5901" w:type="dxa"/>
            <w:vAlign w:val="center"/>
          </w:tcPr>
          <w:p w14:paraId="44145EAD">
            <w:pPr>
              <w:rPr>
                <w:i/>
                <w:szCs w:val="21"/>
              </w:rPr>
            </w:pPr>
            <w:r>
              <w:rPr>
                <w:rFonts w:hint="eastAsia" w:ascii="宋体" w:hAnsi="宋体"/>
                <w:szCs w:val="21"/>
              </w:rPr>
              <w:t>所提供的报价按招标文件要求计算且未超过采购预算</w:t>
            </w:r>
          </w:p>
        </w:tc>
        <w:tc>
          <w:tcPr>
            <w:tcW w:w="767" w:type="dxa"/>
            <w:vAlign w:val="center"/>
          </w:tcPr>
          <w:p w14:paraId="61EA8F42">
            <w:pPr>
              <w:jc w:val="center"/>
              <w:rPr>
                <w:szCs w:val="21"/>
              </w:rPr>
            </w:pPr>
          </w:p>
        </w:tc>
        <w:tc>
          <w:tcPr>
            <w:tcW w:w="2042" w:type="dxa"/>
            <w:vAlign w:val="center"/>
          </w:tcPr>
          <w:p w14:paraId="31594D0D">
            <w:pPr>
              <w:ind w:right="-35"/>
              <w:jc w:val="center"/>
              <w:rPr>
                <w:szCs w:val="21"/>
              </w:rPr>
            </w:pPr>
          </w:p>
        </w:tc>
      </w:tr>
      <w:tr w14:paraId="34DB8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692" w:type="dxa"/>
            <w:vAlign w:val="center"/>
          </w:tcPr>
          <w:p w14:paraId="2AFB3867">
            <w:pPr>
              <w:jc w:val="center"/>
              <w:rPr>
                <w:szCs w:val="21"/>
              </w:rPr>
            </w:pPr>
            <w:r>
              <w:rPr>
                <w:rFonts w:hint="eastAsia" w:ascii="宋体" w:hAnsi="宋体"/>
                <w:szCs w:val="21"/>
              </w:rPr>
              <w:t>4</w:t>
            </w:r>
          </w:p>
        </w:tc>
        <w:tc>
          <w:tcPr>
            <w:tcW w:w="5901" w:type="dxa"/>
            <w:vAlign w:val="center"/>
          </w:tcPr>
          <w:p w14:paraId="29D558BD">
            <w:pPr>
              <w:rPr>
                <w:i/>
                <w:szCs w:val="21"/>
              </w:rPr>
            </w:pPr>
            <w:r>
              <w:rPr>
                <w:rFonts w:hint="eastAsia" w:ascii="宋体" w:hAnsi="宋体"/>
                <w:szCs w:val="21"/>
                <w:lang w:val="en-GB"/>
              </w:rPr>
              <w:t>同意采购方以任何形式对我方投标文件内容的真实性和有效性进行审查、验证</w:t>
            </w:r>
          </w:p>
        </w:tc>
        <w:tc>
          <w:tcPr>
            <w:tcW w:w="767" w:type="dxa"/>
            <w:vAlign w:val="center"/>
          </w:tcPr>
          <w:p w14:paraId="287B6D99">
            <w:pPr>
              <w:jc w:val="center"/>
              <w:rPr>
                <w:szCs w:val="21"/>
              </w:rPr>
            </w:pPr>
          </w:p>
        </w:tc>
        <w:tc>
          <w:tcPr>
            <w:tcW w:w="2042" w:type="dxa"/>
            <w:vAlign w:val="center"/>
          </w:tcPr>
          <w:p w14:paraId="56BA76CD">
            <w:pPr>
              <w:ind w:right="-35"/>
              <w:jc w:val="center"/>
              <w:rPr>
                <w:szCs w:val="21"/>
              </w:rPr>
            </w:pPr>
          </w:p>
        </w:tc>
      </w:tr>
      <w:tr w14:paraId="318F2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92" w:type="dxa"/>
            <w:vAlign w:val="center"/>
          </w:tcPr>
          <w:p w14:paraId="21AF55F3">
            <w:pPr>
              <w:jc w:val="center"/>
              <w:rPr>
                <w:szCs w:val="21"/>
              </w:rPr>
            </w:pPr>
            <w:r>
              <w:rPr>
                <w:rFonts w:ascii="宋体" w:hAnsi="宋体"/>
                <w:szCs w:val="21"/>
              </w:rPr>
              <w:t>5</w:t>
            </w:r>
          </w:p>
        </w:tc>
        <w:tc>
          <w:tcPr>
            <w:tcW w:w="5901" w:type="dxa"/>
            <w:vAlign w:val="center"/>
          </w:tcPr>
          <w:p w14:paraId="65DFD0E6">
            <w:pPr>
              <w:rPr>
                <w:i/>
                <w:szCs w:val="21"/>
              </w:rPr>
            </w:pPr>
            <w:r>
              <w:rPr>
                <w:rFonts w:hint="eastAsia" w:ascii="宋体" w:hAnsi="宋体"/>
                <w:szCs w:val="21"/>
              </w:rPr>
              <w:t>交货期：</w:t>
            </w:r>
            <w:r>
              <w:rPr>
                <w:rFonts w:hint="eastAsia" w:ascii="宋体" w:hAnsi="宋体"/>
                <w:bCs/>
                <w:szCs w:val="21"/>
              </w:rPr>
              <w:t>本项目总工期为30天，从合同签订之日计算。</w:t>
            </w:r>
          </w:p>
        </w:tc>
        <w:tc>
          <w:tcPr>
            <w:tcW w:w="767" w:type="dxa"/>
            <w:vAlign w:val="center"/>
          </w:tcPr>
          <w:p w14:paraId="62404415">
            <w:pPr>
              <w:jc w:val="center"/>
              <w:rPr>
                <w:szCs w:val="21"/>
              </w:rPr>
            </w:pPr>
          </w:p>
        </w:tc>
        <w:tc>
          <w:tcPr>
            <w:tcW w:w="2042" w:type="dxa"/>
            <w:vAlign w:val="center"/>
          </w:tcPr>
          <w:p w14:paraId="1F64BAC9">
            <w:pPr>
              <w:jc w:val="center"/>
              <w:rPr>
                <w:rFonts w:ascii="Times New Roman" w:hAnsi="Times New Roman"/>
                <w:szCs w:val="21"/>
              </w:rPr>
            </w:pPr>
          </w:p>
        </w:tc>
      </w:tr>
      <w:tr w14:paraId="284E5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92" w:type="dxa"/>
            <w:vAlign w:val="center"/>
          </w:tcPr>
          <w:p w14:paraId="1BBED564">
            <w:pPr>
              <w:jc w:val="center"/>
              <w:rPr>
                <w:rFonts w:hint="eastAsia" w:ascii="宋体" w:hAnsi="宋体"/>
                <w:szCs w:val="21"/>
              </w:rPr>
            </w:pPr>
            <w:r>
              <w:rPr>
                <w:rFonts w:hint="eastAsia" w:ascii="宋体" w:hAnsi="宋体"/>
                <w:szCs w:val="21"/>
              </w:rPr>
              <w:t>6</w:t>
            </w:r>
          </w:p>
        </w:tc>
        <w:tc>
          <w:tcPr>
            <w:tcW w:w="5901" w:type="dxa"/>
            <w:vAlign w:val="center"/>
          </w:tcPr>
          <w:p w14:paraId="0AC904A1">
            <w:pPr>
              <w:rPr>
                <w:rFonts w:hint="eastAsia" w:ascii="宋体" w:hAnsi="宋体"/>
                <w:szCs w:val="21"/>
              </w:rPr>
            </w:pPr>
            <w:r>
              <w:rPr>
                <w:rFonts w:hint="eastAsia" w:ascii="宋体" w:hAnsi="宋体"/>
                <w:kern w:val="0"/>
                <w:szCs w:val="21"/>
              </w:rPr>
              <w:t>质保期：不少于</w:t>
            </w:r>
            <w:r>
              <w:rPr>
                <w:rFonts w:hint="eastAsia" w:ascii="宋体" w:hAnsi="宋体"/>
                <w:kern w:val="0"/>
                <w:szCs w:val="21"/>
                <w:u w:val="single"/>
              </w:rPr>
              <w:t xml:space="preserve"> 1年 </w:t>
            </w:r>
          </w:p>
        </w:tc>
        <w:tc>
          <w:tcPr>
            <w:tcW w:w="767" w:type="dxa"/>
            <w:vAlign w:val="center"/>
          </w:tcPr>
          <w:p w14:paraId="05E56960">
            <w:pPr>
              <w:jc w:val="center"/>
              <w:rPr>
                <w:szCs w:val="21"/>
              </w:rPr>
            </w:pPr>
          </w:p>
        </w:tc>
        <w:tc>
          <w:tcPr>
            <w:tcW w:w="2042" w:type="dxa"/>
            <w:vAlign w:val="center"/>
          </w:tcPr>
          <w:p w14:paraId="41D6723A">
            <w:pPr>
              <w:jc w:val="center"/>
              <w:rPr>
                <w:rFonts w:ascii="Times New Roman" w:hAnsi="Times New Roman"/>
                <w:szCs w:val="21"/>
              </w:rPr>
            </w:pPr>
          </w:p>
        </w:tc>
      </w:tr>
      <w:tr w14:paraId="6D4CB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692" w:type="dxa"/>
            <w:vAlign w:val="center"/>
          </w:tcPr>
          <w:p w14:paraId="71676CE9">
            <w:pPr>
              <w:jc w:val="center"/>
              <w:rPr>
                <w:szCs w:val="21"/>
              </w:rPr>
            </w:pPr>
            <w:r>
              <w:rPr>
                <w:rFonts w:hint="eastAsia"/>
                <w:szCs w:val="21"/>
              </w:rPr>
              <w:t>...</w:t>
            </w:r>
          </w:p>
        </w:tc>
        <w:tc>
          <w:tcPr>
            <w:tcW w:w="5901" w:type="dxa"/>
            <w:vAlign w:val="center"/>
          </w:tcPr>
          <w:p w14:paraId="4C423832">
            <w:pPr>
              <w:rPr>
                <w:i/>
                <w:szCs w:val="21"/>
              </w:rPr>
            </w:pPr>
            <w:r>
              <w:rPr>
                <w:rFonts w:hint="eastAsia"/>
                <w:szCs w:val="21"/>
              </w:rPr>
              <w:t>其它商务条款偏离说明：</w:t>
            </w:r>
          </w:p>
        </w:tc>
        <w:tc>
          <w:tcPr>
            <w:tcW w:w="767" w:type="dxa"/>
            <w:vAlign w:val="center"/>
          </w:tcPr>
          <w:p w14:paraId="7F032CBF">
            <w:pPr>
              <w:jc w:val="center"/>
              <w:rPr>
                <w:szCs w:val="21"/>
              </w:rPr>
            </w:pPr>
          </w:p>
        </w:tc>
        <w:tc>
          <w:tcPr>
            <w:tcW w:w="2042" w:type="dxa"/>
            <w:vAlign w:val="center"/>
          </w:tcPr>
          <w:p w14:paraId="31A3B389">
            <w:pPr>
              <w:jc w:val="center"/>
              <w:rPr>
                <w:szCs w:val="21"/>
              </w:rPr>
            </w:pPr>
          </w:p>
        </w:tc>
      </w:tr>
    </w:tbl>
    <w:p w14:paraId="08AB113C">
      <w:pPr>
        <w:ind w:left="630" w:hanging="630" w:hangingChars="300"/>
        <w:rPr>
          <w:szCs w:val="21"/>
          <w:lang w:val="en-GB"/>
        </w:rPr>
      </w:pPr>
    </w:p>
    <w:p w14:paraId="09F4D017">
      <w:pPr>
        <w:spacing w:line="360" w:lineRule="auto"/>
        <w:ind w:left="728" w:hanging="728"/>
        <w:rPr>
          <w:rFonts w:hint="eastAsia" w:ascii="宋体" w:hAnsi="宋体"/>
          <w:szCs w:val="21"/>
          <w:lang w:val="en-GB"/>
        </w:rPr>
      </w:pPr>
      <w:r>
        <w:rPr>
          <w:rFonts w:hint="eastAsia" w:ascii="宋体" w:hAnsi="宋体"/>
          <w:szCs w:val="21"/>
          <w:lang w:val="en-GB"/>
        </w:rPr>
        <w:t>注：1.</w:t>
      </w:r>
      <w:r>
        <w:rPr>
          <w:rFonts w:ascii="宋体" w:hAnsi="宋体"/>
          <w:szCs w:val="21"/>
          <w:lang w:val="en-GB"/>
        </w:rPr>
        <w:t xml:space="preserve"> </w:t>
      </w:r>
      <w:r>
        <w:rPr>
          <w:rFonts w:hint="eastAsia" w:ascii="宋体" w:hAnsi="宋体"/>
          <w:szCs w:val="21"/>
        </w:rPr>
        <w:t>对</w:t>
      </w:r>
      <w:r>
        <w:rPr>
          <w:rFonts w:hint="eastAsia" w:ascii="宋体" w:hAnsi="宋体"/>
          <w:szCs w:val="21"/>
          <w:lang w:val="en-GB"/>
        </w:rPr>
        <w:t>于上述要求，如投标人完全响应，则请在“是否响应”栏内打“√”，对打“×”视为偏离，请在“偏离说明”栏内扼要说明偏离情况。</w:t>
      </w:r>
      <w:r>
        <w:rPr>
          <w:rFonts w:hint="eastAsia"/>
          <w:b/>
          <w:szCs w:val="21"/>
        </w:rPr>
        <w:t>对没有列出或者空白，视为没有偏差。</w:t>
      </w:r>
    </w:p>
    <w:p w14:paraId="2DDD6A91">
      <w:pPr>
        <w:spacing w:line="360" w:lineRule="auto"/>
        <w:ind w:firstLine="420"/>
        <w:rPr>
          <w:rFonts w:hint="eastAsia" w:ascii="宋体" w:hAnsi="宋体"/>
          <w:szCs w:val="21"/>
          <w:lang w:val="en-GB"/>
        </w:rPr>
      </w:pPr>
      <w:r>
        <w:rPr>
          <w:rFonts w:hint="eastAsia" w:ascii="宋体" w:hAnsi="宋体"/>
          <w:szCs w:val="21"/>
          <w:lang w:val="en-GB"/>
        </w:rPr>
        <w:t>2.</w:t>
      </w:r>
      <w:r>
        <w:rPr>
          <w:rFonts w:ascii="宋体" w:hAnsi="宋体"/>
          <w:szCs w:val="21"/>
          <w:lang w:val="en-GB"/>
        </w:rPr>
        <w:t xml:space="preserve"> </w:t>
      </w:r>
      <w:r>
        <w:rPr>
          <w:rFonts w:hint="eastAsia" w:ascii="宋体" w:hAnsi="宋体"/>
          <w:szCs w:val="21"/>
          <w:lang w:val="en-GB"/>
        </w:rPr>
        <w:t>此表内容必须与实施方案中所介绍的内容一致。</w:t>
      </w:r>
    </w:p>
    <w:p w14:paraId="70CE4C9A">
      <w:pPr>
        <w:spacing w:line="360" w:lineRule="auto"/>
        <w:ind w:left="630" w:hanging="630" w:hangingChars="300"/>
        <w:rPr>
          <w:szCs w:val="21"/>
          <w:lang w:val="en-GB"/>
        </w:rPr>
      </w:pPr>
    </w:p>
    <w:p w14:paraId="3540BD5A">
      <w:pPr>
        <w:spacing w:line="360" w:lineRule="auto"/>
        <w:ind w:left="630" w:hanging="630" w:hangingChars="300"/>
        <w:rPr>
          <w:szCs w:val="21"/>
          <w:lang w:val="en-GB"/>
        </w:rPr>
      </w:pPr>
    </w:p>
    <w:p w14:paraId="2AD51B2E">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753B96D2">
      <w:pPr>
        <w:spacing w:after="120" w:line="360" w:lineRule="exact"/>
        <w:jc w:val="left"/>
        <w:rPr>
          <w:sz w:val="16"/>
          <w:szCs w:val="21"/>
        </w:rPr>
      </w:pPr>
      <w:r>
        <w:rPr>
          <w:rFonts w:hint="eastAsia"/>
          <w:szCs w:val="21"/>
        </w:rPr>
        <w:t>日期：   年   月   日</w:t>
      </w:r>
    </w:p>
    <w:p w14:paraId="6AE27323">
      <w:pPr>
        <w:widowControl/>
        <w:jc w:val="left"/>
        <w:rPr>
          <w:rFonts w:ascii="Times New Roman" w:hAnsi="Times New Roman"/>
          <w:b/>
          <w:bCs/>
          <w:sz w:val="28"/>
          <w:szCs w:val="28"/>
        </w:rPr>
      </w:pPr>
      <w:r>
        <w:rPr>
          <w:rFonts w:ascii="Times New Roman" w:hAnsi="Times New Roman"/>
          <w:b/>
          <w:bCs/>
          <w:sz w:val="28"/>
          <w:szCs w:val="28"/>
        </w:rPr>
        <w:br w:type="page"/>
      </w:r>
    </w:p>
    <w:p w14:paraId="59CDB902">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4.3 企业管理体系认证</w:t>
      </w:r>
    </w:p>
    <w:p w14:paraId="0BB60CEA">
      <w:pPr>
        <w:snapToGrid w:val="0"/>
        <w:spacing w:line="360" w:lineRule="auto"/>
        <w:rPr>
          <w:rFonts w:hint="eastAsia" w:ascii="宋体" w:hAnsi="宋体"/>
          <w:b/>
          <w:szCs w:val="21"/>
        </w:rPr>
      </w:pPr>
    </w:p>
    <w:p w14:paraId="7B8B1F3C">
      <w:pPr>
        <w:widowControl/>
        <w:jc w:val="left"/>
        <w:rPr>
          <w:rFonts w:ascii="Times New Roman" w:hAnsi="Times New Roman"/>
          <w:b/>
          <w:bCs/>
          <w:sz w:val="28"/>
          <w:szCs w:val="28"/>
        </w:rPr>
      </w:pPr>
      <w:r>
        <w:rPr>
          <w:rFonts w:ascii="Times New Roman" w:hAnsi="Times New Roman"/>
          <w:b/>
          <w:bCs/>
          <w:sz w:val="28"/>
          <w:szCs w:val="28"/>
        </w:rPr>
        <w:br w:type="page"/>
      </w:r>
    </w:p>
    <w:p w14:paraId="257B02A4">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4.4 投标人同类项目的业绩介绍</w:t>
      </w:r>
    </w:p>
    <w:p w14:paraId="7CEF23F7">
      <w:pPr>
        <w:spacing w:line="360" w:lineRule="auto"/>
        <w:rPr>
          <w:rFonts w:hint="eastAsia" w:ascii="宋体" w:hAnsi="宋体"/>
          <w:szCs w:val="21"/>
        </w:rPr>
      </w:pPr>
      <w:r>
        <w:rPr>
          <w:rFonts w:hint="eastAsia" w:ascii="宋体" w:hAnsi="宋体"/>
          <w:szCs w:val="21"/>
        </w:rPr>
        <w:t>（提供的业绩年份按《投标人须知前附表》的要求）</w:t>
      </w:r>
    </w:p>
    <w:tbl>
      <w:tblPr>
        <w:tblStyle w:val="22"/>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17"/>
        <w:gridCol w:w="1635"/>
        <w:gridCol w:w="1637"/>
        <w:gridCol w:w="1637"/>
        <w:gridCol w:w="1635"/>
        <w:gridCol w:w="1637"/>
      </w:tblGrid>
      <w:tr w14:paraId="3ED1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767" w:hRule="atLeast"/>
        </w:trPr>
        <w:tc>
          <w:tcPr>
            <w:tcW w:w="917" w:type="dxa"/>
            <w:shd w:val="clear" w:color="auto" w:fill="FFFFFF"/>
            <w:tcMar>
              <w:top w:w="0" w:type="dxa"/>
              <w:left w:w="108" w:type="dxa"/>
              <w:bottom w:w="0" w:type="dxa"/>
              <w:right w:w="108" w:type="dxa"/>
            </w:tcMar>
            <w:vAlign w:val="center"/>
          </w:tcPr>
          <w:p w14:paraId="1BE66A70">
            <w:pPr>
              <w:widowControl/>
              <w:snapToGrid w:val="0"/>
              <w:spacing w:line="300" w:lineRule="auto"/>
              <w:jc w:val="left"/>
              <w:rPr>
                <w:rFonts w:hint="eastAsia" w:ascii="宋体" w:hAnsi="宋体" w:cs="宋体"/>
                <w:sz w:val="24"/>
                <w:szCs w:val="24"/>
              </w:rPr>
            </w:pPr>
            <w:bookmarkStart w:id="40" w:name="_Hlt10548694"/>
            <w:r>
              <w:rPr>
                <w:rFonts w:hint="eastAsia" w:ascii="宋体" w:hAnsi="宋体" w:cs="宋体"/>
                <w:szCs w:val="21"/>
              </w:rPr>
              <w:t>序号</w:t>
            </w:r>
          </w:p>
        </w:tc>
        <w:tc>
          <w:tcPr>
            <w:tcW w:w="1635" w:type="dxa"/>
            <w:shd w:val="clear" w:color="auto" w:fill="FFFFFF"/>
            <w:tcMar>
              <w:top w:w="0" w:type="dxa"/>
              <w:left w:w="108" w:type="dxa"/>
              <w:bottom w:w="0" w:type="dxa"/>
              <w:right w:w="108" w:type="dxa"/>
            </w:tcMar>
            <w:vAlign w:val="center"/>
          </w:tcPr>
          <w:p w14:paraId="227CCE63">
            <w:pPr>
              <w:widowControl/>
              <w:snapToGrid w:val="0"/>
              <w:spacing w:line="300" w:lineRule="auto"/>
              <w:jc w:val="center"/>
              <w:rPr>
                <w:rFonts w:hint="eastAsia" w:ascii="宋体" w:hAnsi="宋体" w:cs="宋体"/>
                <w:szCs w:val="21"/>
              </w:rPr>
            </w:pPr>
            <w:r>
              <w:rPr>
                <w:rFonts w:hint="eastAsia" w:ascii="宋体" w:hAnsi="宋体" w:cs="宋体"/>
                <w:szCs w:val="21"/>
              </w:rPr>
              <w:t>合同签署</w:t>
            </w:r>
          </w:p>
          <w:p w14:paraId="18396A5F">
            <w:pPr>
              <w:widowControl/>
              <w:snapToGrid w:val="0"/>
              <w:spacing w:line="300" w:lineRule="auto"/>
              <w:jc w:val="center"/>
              <w:rPr>
                <w:rFonts w:hint="eastAsia" w:ascii="宋体" w:hAnsi="宋体" w:cs="宋体"/>
                <w:sz w:val="24"/>
                <w:szCs w:val="24"/>
              </w:rPr>
            </w:pPr>
            <w:r>
              <w:rPr>
                <w:rFonts w:hint="eastAsia" w:ascii="宋体" w:hAnsi="宋体" w:cs="宋体"/>
                <w:szCs w:val="21"/>
              </w:rPr>
              <w:t>时间</w:t>
            </w:r>
          </w:p>
        </w:tc>
        <w:tc>
          <w:tcPr>
            <w:tcW w:w="1637" w:type="dxa"/>
            <w:shd w:val="clear" w:color="auto" w:fill="FFFFFF"/>
            <w:tcMar>
              <w:top w:w="0" w:type="dxa"/>
              <w:left w:w="108" w:type="dxa"/>
              <w:bottom w:w="0" w:type="dxa"/>
              <w:right w:w="108" w:type="dxa"/>
            </w:tcMar>
            <w:vAlign w:val="center"/>
          </w:tcPr>
          <w:p w14:paraId="45FC8255">
            <w:pPr>
              <w:widowControl/>
              <w:snapToGrid w:val="0"/>
              <w:spacing w:line="300" w:lineRule="auto"/>
              <w:jc w:val="center"/>
              <w:rPr>
                <w:rFonts w:hint="eastAsia" w:ascii="宋体" w:hAnsi="宋体" w:cs="宋体"/>
                <w:sz w:val="24"/>
                <w:szCs w:val="24"/>
              </w:rPr>
            </w:pPr>
            <w:r>
              <w:rPr>
                <w:rFonts w:hint="eastAsia" w:ascii="宋体" w:hAnsi="宋体" w:cs="宋体"/>
                <w:szCs w:val="21"/>
              </w:rPr>
              <w:t>合同名称</w:t>
            </w:r>
          </w:p>
        </w:tc>
        <w:tc>
          <w:tcPr>
            <w:tcW w:w="1637" w:type="dxa"/>
            <w:shd w:val="clear" w:color="auto" w:fill="FFFFFF"/>
            <w:tcMar>
              <w:top w:w="0" w:type="dxa"/>
              <w:left w:w="108" w:type="dxa"/>
              <w:bottom w:w="0" w:type="dxa"/>
              <w:right w:w="108" w:type="dxa"/>
            </w:tcMar>
            <w:vAlign w:val="center"/>
          </w:tcPr>
          <w:p w14:paraId="1D5FF321">
            <w:pPr>
              <w:widowControl/>
              <w:snapToGrid w:val="0"/>
              <w:spacing w:line="300" w:lineRule="auto"/>
              <w:jc w:val="center"/>
              <w:rPr>
                <w:rFonts w:hint="eastAsia" w:ascii="宋体" w:hAnsi="宋体" w:cs="宋体"/>
                <w:szCs w:val="21"/>
              </w:rPr>
            </w:pPr>
            <w:r>
              <w:rPr>
                <w:rFonts w:hint="eastAsia" w:ascii="宋体" w:hAnsi="宋体" w:cs="宋体"/>
                <w:szCs w:val="21"/>
              </w:rPr>
              <w:t>客户名称</w:t>
            </w:r>
          </w:p>
        </w:tc>
        <w:tc>
          <w:tcPr>
            <w:tcW w:w="1635" w:type="dxa"/>
            <w:shd w:val="clear" w:color="auto" w:fill="FFFFFF"/>
            <w:tcMar>
              <w:top w:w="0" w:type="dxa"/>
              <w:left w:w="108" w:type="dxa"/>
              <w:bottom w:w="0" w:type="dxa"/>
              <w:right w:w="108" w:type="dxa"/>
            </w:tcMar>
            <w:vAlign w:val="center"/>
          </w:tcPr>
          <w:p w14:paraId="6F07C0F4">
            <w:pPr>
              <w:widowControl/>
              <w:snapToGrid w:val="0"/>
              <w:spacing w:line="300" w:lineRule="auto"/>
              <w:jc w:val="center"/>
              <w:rPr>
                <w:rFonts w:hint="eastAsia" w:ascii="宋体" w:hAnsi="宋体" w:cs="宋体"/>
                <w:szCs w:val="21"/>
              </w:rPr>
            </w:pPr>
            <w:r>
              <w:rPr>
                <w:rFonts w:hint="eastAsia" w:ascii="宋体" w:hAnsi="宋体" w:cs="宋体"/>
                <w:szCs w:val="21"/>
              </w:rPr>
              <w:t>合同金额（元）</w:t>
            </w:r>
          </w:p>
        </w:tc>
        <w:tc>
          <w:tcPr>
            <w:tcW w:w="1637" w:type="dxa"/>
            <w:shd w:val="clear" w:color="auto" w:fill="FFFFFF"/>
            <w:tcMar>
              <w:top w:w="0" w:type="dxa"/>
              <w:left w:w="108" w:type="dxa"/>
              <w:bottom w:w="0" w:type="dxa"/>
              <w:right w:w="108" w:type="dxa"/>
            </w:tcMar>
            <w:vAlign w:val="center"/>
          </w:tcPr>
          <w:p w14:paraId="22B175FD">
            <w:pPr>
              <w:widowControl/>
              <w:snapToGrid w:val="0"/>
              <w:spacing w:line="300" w:lineRule="auto"/>
              <w:jc w:val="left"/>
              <w:rPr>
                <w:rFonts w:hint="eastAsia" w:ascii="宋体" w:hAnsi="宋体" w:cs="宋体"/>
                <w:szCs w:val="21"/>
              </w:rPr>
            </w:pPr>
            <w:r>
              <w:rPr>
                <w:rFonts w:hint="eastAsia" w:ascii="宋体" w:hAnsi="宋体" w:cs="宋体"/>
                <w:szCs w:val="21"/>
              </w:rPr>
              <w:t>联系人：</w:t>
            </w:r>
          </w:p>
          <w:p w14:paraId="174CFC8D">
            <w:pPr>
              <w:widowControl/>
              <w:snapToGrid w:val="0"/>
              <w:spacing w:line="300" w:lineRule="auto"/>
              <w:jc w:val="left"/>
              <w:rPr>
                <w:rFonts w:hint="eastAsia" w:ascii="宋体" w:hAnsi="宋体" w:cs="宋体"/>
                <w:sz w:val="24"/>
                <w:szCs w:val="24"/>
              </w:rPr>
            </w:pPr>
            <w:r>
              <w:rPr>
                <w:rFonts w:hint="eastAsia" w:ascii="宋体" w:hAnsi="宋体" w:cs="宋体"/>
                <w:szCs w:val="21"/>
              </w:rPr>
              <w:t>电话：</w:t>
            </w:r>
          </w:p>
        </w:tc>
      </w:tr>
      <w:tr w14:paraId="3C82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1E99903B">
            <w:pPr>
              <w:widowControl/>
              <w:snapToGrid w:val="0"/>
              <w:spacing w:line="300" w:lineRule="auto"/>
              <w:jc w:val="center"/>
            </w:pPr>
          </w:p>
        </w:tc>
        <w:tc>
          <w:tcPr>
            <w:tcW w:w="1635" w:type="dxa"/>
            <w:shd w:val="clear" w:color="auto" w:fill="FFFFFF"/>
            <w:tcMar>
              <w:top w:w="0" w:type="dxa"/>
              <w:left w:w="108" w:type="dxa"/>
              <w:bottom w:w="0" w:type="dxa"/>
              <w:right w:w="108" w:type="dxa"/>
            </w:tcMar>
            <w:vAlign w:val="center"/>
          </w:tcPr>
          <w:p w14:paraId="22FBD2ED">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3602577E">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1B60BBE0">
            <w:pPr>
              <w:widowControl/>
              <w:snapToGrid w:val="0"/>
              <w:spacing w:line="300" w:lineRule="auto"/>
              <w:jc w:val="center"/>
              <w:rPr>
                <w:rFonts w:hint="eastAsia" w:ascii="宋体" w:hAnsi="宋体" w:cs="宋体"/>
                <w:szCs w:val="21"/>
              </w:rPr>
            </w:pPr>
          </w:p>
        </w:tc>
        <w:tc>
          <w:tcPr>
            <w:tcW w:w="1635" w:type="dxa"/>
            <w:shd w:val="clear" w:color="auto" w:fill="FFFFFF"/>
            <w:tcMar>
              <w:top w:w="0" w:type="dxa"/>
              <w:left w:w="108" w:type="dxa"/>
              <w:bottom w:w="0" w:type="dxa"/>
              <w:right w:w="108" w:type="dxa"/>
            </w:tcMar>
            <w:vAlign w:val="center"/>
          </w:tcPr>
          <w:p w14:paraId="3F64BF4C">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0524EEDF">
            <w:pPr>
              <w:widowControl/>
              <w:snapToGrid w:val="0"/>
              <w:spacing w:line="300" w:lineRule="auto"/>
              <w:jc w:val="center"/>
            </w:pPr>
          </w:p>
        </w:tc>
      </w:tr>
      <w:tr w14:paraId="146D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200B64C2">
            <w:pPr>
              <w:widowControl/>
              <w:snapToGrid w:val="0"/>
              <w:spacing w:line="300" w:lineRule="auto"/>
              <w:jc w:val="center"/>
            </w:pPr>
          </w:p>
        </w:tc>
        <w:tc>
          <w:tcPr>
            <w:tcW w:w="1635" w:type="dxa"/>
            <w:shd w:val="clear" w:color="auto" w:fill="FFFFFF"/>
            <w:tcMar>
              <w:top w:w="0" w:type="dxa"/>
              <w:left w:w="108" w:type="dxa"/>
              <w:bottom w:w="0" w:type="dxa"/>
              <w:right w:w="108" w:type="dxa"/>
            </w:tcMar>
            <w:vAlign w:val="center"/>
          </w:tcPr>
          <w:p w14:paraId="5DCEEC6D">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390BBF80">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43E00D32">
            <w:pPr>
              <w:widowControl/>
              <w:snapToGrid w:val="0"/>
              <w:spacing w:line="300" w:lineRule="auto"/>
              <w:jc w:val="center"/>
            </w:pPr>
          </w:p>
        </w:tc>
        <w:tc>
          <w:tcPr>
            <w:tcW w:w="1635" w:type="dxa"/>
            <w:shd w:val="clear" w:color="auto" w:fill="FFFFFF"/>
            <w:tcMar>
              <w:top w:w="0" w:type="dxa"/>
              <w:left w:w="108" w:type="dxa"/>
              <w:bottom w:w="0" w:type="dxa"/>
              <w:right w:w="108" w:type="dxa"/>
            </w:tcMar>
            <w:vAlign w:val="center"/>
          </w:tcPr>
          <w:p w14:paraId="0E492630">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1B8860B8">
            <w:pPr>
              <w:widowControl/>
              <w:snapToGrid w:val="0"/>
              <w:spacing w:line="300" w:lineRule="auto"/>
              <w:jc w:val="center"/>
            </w:pPr>
          </w:p>
        </w:tc>
      </w:tr>
      <w:tr w14:paraId="5FC1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3042535E">
            <w:pPr>
              <w:widowControl/>
              <w:snapToGrid w:val="0"/>
              <w:spacing w:line="300" w:lineRule="auto"/>
              <w:jc w:val="center"/>
            </w:pPr>
          </w:p>
        </w:tc>
        <w:tc>
          <w:tcPr>
            <w:tcW w:w="1635" w:type="dxa"/>
            <w:shd w:val="clear" w:color="auto" w:fill="FFFFFF"/>
            <w:tcMar>
              <w:top w:w="0" w:type="dxa"/>
              <w:left w:w="108" w:type="dxa"/>
              <w:bottom w:w="0" w:type="dxa"/>
              <w:right w:w="108" w:type="dxa"/>
            </w:tcMar>
            <w:vAlign w:val="center"/>
          </w:tcPr>
          <w:p w14:paraId="2054DA94">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3D89BF29">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183104D4">
            <w:pPr>
              <w:widowControl/>
              <w:snapToGrid w:val="0"/>
              <w:spacing w:line="300" w:lineRule="auto"/>
              <w:jc w:val="center"/>
            </w:pPr>
          </w:p>
        </w:tc>
        <w:tc>
          <w:tcPr>
            <w:tcW w:w="1635" w:type="dxa"/>
            <w:shd w:val="clear" w:color="auto" w:fill="FFFFFF"/>
            <w:tcMar>
              <w:top w:w="0" w:type="dxa"/>
              <w:left w:w="108" w:type="dxa"/>
              <w:bottom w:w="0" w:type="dxa"/>
              <w:right w:w="108" w:type="dxa"/>
            </w:tcMar>
            <w:vAlign w:val="center"/>
          </w:tcPr>
          <w:p w14:paraId="47E17CF7">
            <w:pPr>
              <w:widowControl/>
              <w:snapToGrid w:val="0"/>
              <w:spacing w:line="300" w:lineRule="auto"/>
              <w:jc w:val="center"/>
            </w:pPr>
          </w:p>
        </w:tc>
        <w:tc>
          <w:tcPr>
            <w:tcW w:w="1637" w:type="dxa"/>
            <w:shd w:val="clear" w:color="auto" w:fill="FFFFFF"/>
            <w:tcMar>
              <w:top w:w="0" w:type="dxa"/>
              <w:left w:w="108" w:type="dxa"/>
              <w:bottom w:w="0" w:type="dxa"/>
              <w:right w:w="108" w:type="dxa"/>
            </w:tcMar>
            <w:vAlign w:val="center"/>
          </w:tcPr>
          <w:p w14:paraId="1DF90A22">
            <w:pPr>
              <w:widowControl/>
              <w:snapToGrid w:val="0"/>
              <w:spacing w:line="300" w:lineRule="auto"/>
              <w:jc w:val="center"/>
            </w:pPr>
          </w:p>
        </w:tc>
      </w:tr>
      <w:tr w14:paraId="3379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31" w:hRule="atLeast"/>
        </w:trPr>
        <w:tc>
          <w:tcPr>
            <w:tcW w:w="917" w:type="dxa"/>
            <w:shd w:val="clear" w:color="auto" w:fill="FFFFFF"/>
            <w:tcMar>
              <w:top w:w="0" w:type="dxa"/>
              <w:left w:w="108" w:type="dxa"/>
              <w:bottom w:w="0" w:type="dxa"/>
              <w:right w:w="108" w:type="dxa"/>
            </w:tcMar>
            <w:vAlign w:val="center"/>
          </w:tcPr>
          <w:p w14:paraId="4F91E330">
            <w:pPr>
              <w:widowControl/>
              <w:snapToGrid w:val="0"/>
              <w:spacing w:line="300" w:lineRule="auto"/>
              <w:jc w:val="center"/>
              <w:rPr>
                <w:rFonts w:hint="eastAsia" w:ascii="宋体" w:hAnsi="宋体" w:cs="宋体"/>
                <w:sz w:val="24"/>
                <w:szCs w:val="24"/>
              </w:rPr>
            </w:pPr>
          </w:p>
        </w:tc>
        <w:tc>
          <w:tcPr>
            <w:tcW w:w="1635" w:type="dxa"/>
            <w:shd w:val="clear" w:color="auto" w:fill="FFFFFF"/>
            <w:tcMar>
              <w:top w:w="0" w:type="dxa"/>
              <w:left w:w="108" w:type="dxa"/>
              <w:bottom w:w="0" w:type="dxa"/>
              <w:right w:w="108" w:type="dxa"/>
            </w:tcMar>
            <w:vAlign w:val="center"/>
          </w:tcPr>
          <w:p w14:paraId="173B77A6">
            <w:pPr>
              <w:widowControl/>
              <w:snapToGrid w:val="0"/>
              <w:spacing w:line="300" w:lineRule="auto"/>
              <w:jc w:val="center"/>
              <w:rPr>
                <w:rFonts w:hint="eastAsia" w:ascii="宋体" w:hAnsi="宋体" w:cs="宋体"/>
                <w:sz w:val="24"/>
                <w:szCs w:val="24"/>
              </w:rPr>
            </w:pPr>
          </w:p>
        </w:tc>
        <w:tc>
          <w:tcPr>
            <w:tcW w:w="1637" w:type="dxa"/>
            <w:shd w:val="clear" w:color="auto" w:fill="FFFFFF"/>
            <w:tcMar>
              <w:top w:w="0" w:type="dxa"/>
              <w:left w:w="108" w:type="dxa"/>
              <w:bottom w:w="0" w:type="dxa"/>
              <w:right w:w="108" w:type="dxa"/>
            </w:tcMar>
            <w:vAlign w:val="center"/>
          </w:tcPr>
          <w:p w14:paraId="796B6CB1">
            <w:pPr>
              <w:widowControl/>
              <w:snapToGrid w:val="0"/>
              <w:spacing w:line="300" w:lineRule="auto"/>
              <w:jc w:val="center"/>
              <w:rPr>
                <w:rFonts w:hint="eastAsia" w:ascii="宋体" w:hAnsi="宋体" w:cs="宋体"/>
                <w:sz w:val="24"/>
                <w:szCs w:val="24"/>
              </w:rPr>
            </w:pPr>
          </w:p>
        </w:tc>
        <w:tc>
          <w:tcPr>
            <w:tcW w:w="1637" w:type="dxa"/>
            <w:shd w:val="clear" w:color="auto" w:fill="FFFFFF"/>
            <w:tcMar>
              <w:top w:w="0" w:type="dxa"/>
              <w:left w:w="108" w:type="dxa"/>
              <w:bottom w:w="0" w:type="dxa"/>
              <w:right w:w="108" w:type="dxa"/>
            </w:tcMar>
            <w:vAlign w:val="center"/>
          </w:tcPr>
          <w:p w14:paraId="4654E0AB">
            <w:pPr>
              <w:widowControl/>
              <w:snapToGrid w:val="0"/>
              <w:spacing w:line="300" w:lineRule="auto"/>
              <w:jc w:val="center"/>
              <w:rPr>
                <w:rFonts w:hint="eastAsia" w:ascii="宋体" w:hAnsi="宋体" w:cs="宋体"/>
                <w:sz w:val="24"/>
                <w:szCs w:val="24"/>
              </w:rPr>
            </w:pPr>
          </w:p>
        </w:tc>
        <w:tc>
          <w:tcPr>
            <w:tcW w:w="1635" w:type="dxa"/>
            <w:shd w:val="clear" w:color="auto" w:fill="FFFFFF"/>
            <w:tcMar>
              <w:top w:w="0" w:type="dxa"/>
              <w:left w:w="108" w:type="dxa"/>
              <w:bottom w:w="0" w:type="dxa"/>
              <w:right w:w="108" w:type="dxa"/>
            </w:tcMar>
            <w:vAlign w:val="center"/>
          </w:tcPr>
          <w:p w14:paraId="47CA05F6">
            <w:pPr>
              <w:widowControl/>
              <w:snapToGrid w:val="0"/>
              <w:spacing w:line="300" w:lineRule="auto"/>
              <w:jc w:val="center"/>
              <w:rPr>
                <w:rFonts w:hint="eastAsia" w:ascii="宋体" w:hAnsi="宋体" w:cs="宋体"/>
                <w:sz w:val="24"/>
                <w:szCs w:val="24"/>
              </w:rPr>
            </w:pPr>
          </w:p>
        </w:tc>
        <w:tc>
          <w:tcPr>
            <w:tcW w:w="1637" w:type="dxa"/>
            <w:shd w:val="clear" w:color="auto" w:fill="FFFFFF"/>
            <w:tcMar>
              <w:top w:w="0" w:type="dxa"/>
              <w:left w:w="108" w:type="dxa"/>
              <w:bottom w:w="0" w:type="dxa"/>
              <w:right w:w="108" w:type="dxa"/>
            </w:tcMar>
            <w:vAlign w:val="center"/>
          </w:tcPr>
          <w:p w14:paraId="5DA813F3">
            <w:pPr>
              <w:widowControl/>
              <w:snapToGrid w:val="0"/>
              <w:spacing w:line="300" w:lineRule="auto"/>
              <w:jc w:val="center"/>
              <w:rPr>
                <w:rFonts w:hint="eastAsia" w:ascii="宋体" w:hAnsi="宋体" w:cs="宋体"/>
                <w:sz w:val="24"/>
                <w:szCs w:val="24"/>
              </w:rPr>
            </w:pPr>
          </w:p>
        </w:tc>
      </w:tr>
      <w:bookmarkEnd w:id="40"/>
    </w:tbl>
    <w:p w14:paraId="70160C7F">
      <w:pPr>
        <w:snapToGrid w:val="0"/>
        <w:spacing w:line="360" w:lineRule="auto"/>
        <w:rPr>
          <w:rFonts w:hint="eastAsia" w:ascii="宋体" w:hAnsi="宋体"/>
          <w:szCs w:val="24"/>
        </w:rPr>
      </w:pPr>
      <w:r>
        <w:rPr>
          <w:rFonts w:hint="eastAsia" w:ascii="宋体" w:hAnsi="宋体"/>
          <w:szCs w:val="24"/>
        </w:rPr>
        <w:t>注：1. 投标人必须按评标表中要求在本表列出业绩及提供证明材料。</w:t>
      </w:r>
    </w:p>
    <w:p w14:paraId="3DFCE084">
      <w:pPr>
        <w:snapToGrid w:val="0"/>
        <w:spacing w:line="360" w:lineRule="auto"/>
        <w:ind w:firstLine="422" w:firstLineChars="200"/>
        <w:rPr>
          <w:rFonts w:hint="eastAsia" w:ascii="宋体" w:hAnsi="宋体"/>
          <w:szCs w:val="24"/>
        </w:rPr>
      </w:pPr>
      <w:r>
        <w:rPr>
          <w:rFonts w:hint="eastAsia" w:ascii="宋体" w:hAnsi="宋体"/>
          <w:b/>
          <w:szCs w:val="21"/>
        </w:rPr>
        <w:t>2. 未提供业绩证明材料，或提供的业绩证明材料未能显示评标信息的，该业绩不予计算。</w:t>
      </w:r>
    </w:p>
    <w:p w14:paraId="6C091EAE">
      <w:pPr>
        <w:snapToGrid w:val="0"/>
        <w:spacing w:line="360" w:lineRule="auto"/>
        <w:ind w:firstLine="420" w:firstLineChars="200"/>
        <w:rPr>
          <w:rFonts w:hint="eastAsia" w:ascii="宋体" w:hAnsi="宋体"/>
          <w:b/>
          <w:szCs w:val="21"/>
        </w:rPr>
      </w:pPr>
      <w:r>
        <w:rPr>
          <w:rFonts w:hint="eastAsia" w:ascii="宋体" w:hAnsi="宋体"/>
          <w:szCs w:val="21"/>
        </w:rPr>
        <w:t>3.</w:t>
      </w:r>
      <w:r>
        <w:rPr>
          <w:rFonts w:hint="eastAsia" w:ascii="宋体" w:hAnsi="宋体"/>
          <w:b/>
          <w:szCs w:val="21"/>
        </w:rPr>
        <w:t xml:space="preserve"> 本表可同类扩展。</w:t>
      </w:r>
    </w:p>
    <w:p w14:paraId="2D27D45B">
      <w:pPr>
        <w:snapToGrid w:val="0"/>
        <w:spacing w:line="360" w:lineRule="auto"/>
        <w:rPr>
          <w:rFonts w:hint="eastAsia" w:ascii="宋体" w:hAnsi="宋体"/>
          <w:b/>
          <w:szCs w:val="21"/>
        </w:rPr>
      </w:pPr>
    </w:p>
    <w:p w14:paraId="17607D34">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652E278E">
      <w:pPr>
        <w:spacing w:after="120" w:line="360" w:lineRule="exact"/>
        <w:jc w:val="left"/>
        <w:rPr>
          <w:sz w:val="16"/>
          <w:szCs w:val="21"/>
        </w:rPr>
      </w:pPr>
      <w:r>
        <w:rPr>
          <w:rFonts w:hint="eastAsia"/>
          <w:szCs w:val="21"/>
        </w:rPr>
        <w:t>日期：   年   月   日</w:t>
      </w:r>
    </w:p>
    <w:p w14:paraId="58493466">
      <w:pPr>
        <w:widowControl/>
        <w:jc w:val="left"/>
        <w:rPr>
          <w:rFonts w:ascii="Times New Roman" w:hAnsi="Times New Roman"/>
          <w:b/>
          <w:bCs/>
          <w:sz w:val="28"/>
          <w:szCs w:val="28"/>
        </w:rPr>
      </w:pPr>
      <w:r>
        <w:rPr>
          <w:rFonts w:ascii="Times New Roman" w:hAnsi="Times New Roman"/>
          <w:b/>
          <w:bCs/>
          <w:sz w:val="28"/>
          <w:szCs w:val="28"/>
        </w:rPr>
        <w:br w:type="page"/>
      </w:r>
    </w:p>
    <w:p w14:paraId="4720A5E2">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4.5 拟任执行管理及技术人员情况</w:t>
      </w:r>
    </w:p>
    <w:tbl>
      <w:tblPr>
        <w:tblStyle w:val="22"/>
        <w:tblW w:w="928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326"/>
        <w:gridCol w:w="1327"/>
        <w:gridCol w:w="1327"/>
        <w:gridCol w:w="1327"/>
        <w:gridCol w:w="1327"/>
        <w:gridCol w:w="1327"/>
      </w:tblGrid>
      <w:tr w14:paraId="01E1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Align w:val="center"/>
          </w:tcPr>
          <w:p w14:paraId="789EE137">
            <w:pPr>
              <w:spacing w:line="360" w:lineRule="auto"/>
              <w:jc w:val="center"/>
              <w:rPr>
                <w:rFonts w:hint="eastAsia" w:ascii="宋体" w:hAnsi="宋体"/>
                <w:szCs w:val="21"/>
              </w:rPr>
            </w:pPr>
            <w:r>
              <w:rPr>
                <w:rFonts w:hint="eastAsia" w:ascii="宋体" w:hAnsi="宋体"/>
                <w:szCs w:val="21"/>
              </w:rPr>
              <w:t>职责分工</w:t>
            </w:r>
          </w:p>
        </w:tc>
        <w:tc>
          <w:tcPr>
            <w:tcW w:w="1326" w:type="dxa"/>
            <w:vAlign w:val="center"/>
          </w:tcPr>
          <w:p w14:paraId="6C7D492F">
            <w:pPr>
              <w:spacing w:line="360" w:lineRule="auto"/>
              <w:jc w:val="center"/>
              <w:rPr>
                <w:rFonts w:hint="eastAsia" w:ascii="宋体" w:hAnsi="宋体"/>
                <w:szCs w:val="21"/>
              </w:rPr>
            </w:pPr>
            <w:r>
              <w:rPr>
                <w:rFonts w:hint="eastAsia" w:ascii="宋体" w:hAnsi="宋体"/>
                <w:szCs w:val="21"/>
              </w:rPr>
              <w:t>姓名</w:t>
            </w:r>
          </w:p>
        </w:tc>
        <w:tc>
          <w:tcPr>
            <w:tcW w:w="1327" w:type="dxa"/>
            <w:vAlign w:val="center"/>
          </w:tcPr>
          <w:p w14:paraId="111E895B">
            <w:pPr>
              <w:spacing w:line="360" w:lineRule="auto"/>
              <w:jc w:val="center"/>
              <w:rPr>
                <w:rFonts w:hint="eastAsia" w:ascii="宋体" w:hAnsi="宋体"/>
                <w:szCs w:val="21"/>
              </w:rPr>
            </w:pPr>
            <w:r>
              <w:rPr>
                <w:rFonts w:hint="eastAsia" w:ascii="宋体" w:hAnsi="宋体"/>
                <w:szCs w:val="21"/>
              </w:rPr>
              <w:t>现职务</w:t>
            </w:r>
          </w:p>
        </w:tc>
        <w:tc>
          <w:tcPr>
            <w:tcW w:w="1327" w:type="dxa"/>
            <w:vAlign w:val="center"/>
          </w:tcPr>
          <w:p w14:paraId="473F4A76">
            <w:pPr>
              <w:spacing w:line="360" w:lineRule="auto"/>
              <w:jc w:val="center"/>
              <w:rPr>
                <w:rFonts w:hint="eastAsia" w:ascii="宋体" w:hAnsi="宋体"/>
                <w:szCs w:val="21"/>
              </w:rPr>
            </w:pPr>
            <w:r>
              <w:rPr>
                <w:rFonts w:hint="eastAsia" w:ascii="宋体" w:hAnsi="宋体"/>
                <w:szCs w:val="21"/>
              </w:rPr>
              <w:t>曾主持</w:t>
            </w:r>
            <w:r>
              <w:rPr>
                <w:rFonts w:ascii="宋体" w:hAnsi="宋体"/>
                <w:szCs w:val="21"/>
              </w:rPr>
              <w:t>/参与的同类项目经历</w:t>
            </w:r>
          </w:p>
        </w:tc>
        <w:tc>
          <w:tcPr>
            <w:tcW w:w="1327" w:type="dxa"/>
            <w:vAlign w:val="center"/>
          </w:tcPr>
          <w:p w14:paraId="5E703B18">
            <w:pPr>
              <w:spacing w:line="360" w:lineRule="auto"/>
              <w:jc w:val="center"/>
              <w:rPr>
                <w:rFonts w:hint="eastAsia" w:ascii="宋体" w:hAnsi="宋体"/>
                <w:szCs w:val="21"/>
              </w:rPr>
            </w:pPr>
            <w:r>
              <w:rPr>
                <w:rFonts w:hint="eastAsia" w:ascii="宋体" w:hAnsi="宋体"/>
                <w:szCs w:val="21"/>
              </w:rPr>
              <w:t>职称</w:t>
            </w:r>
          </w:p>
        </w:tc>
        <w:tc>
          <w:tcPr>
            <w:tcW w:w="1327" w:type="dxa"/>
            <w:vAlign w:val="center"/>
          </w:tcPr>
          <w:p w14:paraId="2A206AE4">
            <w:pPr>
              <w:spacing w:line="360" w:lineRule="auto"/>
              <w:jc w:val="center"/>
              <w:rPr>
                <w:rFonts w:hint="eastAsia" w:ascii="宋体" w:hAnsi="宋体"/>
                <w:szCs w:val="21"/>
              </w:rPr>
            </w:pPr>
            <w:r>
              <w:rPr>
                <w:rFonts w:hint="eastAsia" w:ascii="宋体" w:hAnsi="宋体"/>
                <w:szCs w:val="21"/>
              </w:rPr>
              <w:t>专业工龄</w:t>
            </w:r>
          </w:p>
        </w:tc>
        <w:tc>
          <w:tcPr>
            <w:tcW w:w="1327" w:type="dxa"/>
            <w:vAlign w:val="center"/>
          </w:tcPr>
          <w:p w14:paraId="41F5C863">
            <w:pPr>
              <w:spacing w:line="360" w:lineRule="auto"/>
              <w:jc w:val="center"/>
              <w:rPr>
                <w:rFonts w:hint="eastAsia" w:ascii="宋体" w:hAnsi="宋体"/>
                <w:szCs w:val="21"/>
              </w:rPr>
            </w:pPr>
            <w:r>
              <w:rPr>
                <w:rFonts w:hint="eastAsia" w:ascii="宋体" w:hAnsi="宋体"/>
                <w:szCs w:val="21"/>
              </w:rPr>
              <w:t>联系电话</w:t>
            </w:r>
            <w:r>
              <w:rPr>
                <w:rFonts w:ascii="宋体" w:hAnsi="宋体"/>
                <w:szCs w:val="21"/>
              </w:rPr>
              <w:t>/手机</w:t>
            </w:r>
          </w:p>
        </w:tc>
      </w:tr>
      <w:tr w14:paraId="3EBA7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Align w:val="center"/>
          </w:tcPr>
          <w:p w14:paraId="6918B746">
            <w:pPr>
              <w:spacing w:line="360" w:lineRule="auto"/>
              <w:jc w:val="center"/>
              <w:rPr>
                <w:rFonts w:hint="eastAsia" w:ascii="宋体" w:hAnsi="宋体"/>
                <w:szCs w:val="21"/>
              </w:rPr>
            </w:pPr>
            <w:r>
              <w:rPr>
                <w:rFonts w:hint="eastAsia" w:ascii="宋体" w:hAnsi="宋体"/>
                <w:szCs w:val="21"/>
              </w:rPr>
              <w:t>项目经理</w:t>
            </w:r>
          </w:p>
        </w:tc>
        <w:tc>
          <w:tcPr>
            <w:tcW w:w="1326" w:type="dxa"/>
            <w:vAlign w:val="center"/>
          </w:tcPr>
          <w:p w14:paraId="6CC280A8">
            <w:pPr>
              <w:spacing w:line="360" w:lineRule="auto"/>
              <w:jc w:val="center"/>
              <w:rPr>
                <w:rFonts w:hint="eastAsia" w:ascii="宋体" w:hAnsi="宋体"/>
                <w:szCs w:val="21"/>
              </w:rPr>
            </w:pPr>
          </w:p>
        </w:tc>
        <w:tc>
          <w:tcPr>
            <w:tcW w:w="1327" w:type="dxa"/>
            <w:vAlign w:val="center"/>
          </w:tcPr>
          <w:p w14:paraId="0D7337E0">
            <w:pPr>
              <w:spacing w:line="360" w:lineRule="auto"/>
              <w:jc w:val="center"/>
              <w:rPr>
                <w:rFonts w:hint="eastAsia" w:ascii="宋体" w:hAnsi="宋体"/>
                <w:szCs w:val="21"/>
              </w:rPr>
            </w:pPr>
          </w:p>
        </w:tc>
        <w:tc>
          <w:tcPr>
            <w:tcW w:w="1327" w:type="dxa"/>
            <w:vAlign w:val="center"/>
          </w:tcPr>
          <w:p w14:paraId="5D45E72B">
            <w:pPr>
              <w:spacing w:line="360" w:lineRule="auto"/>
              <w:jc w:val="center"/>
              <w:rPr>
                <w:rFonts w:hint="eastAsia" w:ascii="宋体" w:hAnsi="宋体"/>
                <w:szCs w:val="21"/>
              </w:rPr>
            </w:pPr>
          </w:p>
        </w:tc>
        <w:tc>
          <w:tcPr>
            <w:tcW w:w="1327" w:type="dxa"/>
            <w:vAlign w:val="center"/>
          </w:tcPr>
          <w:p w14:paraId="5E523F3D">
            <w:pPr>
              <w:spacing w:line="360" w:lineRule="auto"/>
              <w:jc w:val="center"/>
              <w:rPr>
                <w:rFonts w:hint="eastAsia" w:ascii="宋体" w:hAnsi="宋体"/>
                <w:szCs w:val="21"/>
              </w:rPr>
            </w:pPr>
          </w:p>
        </w:tc>
        <w:tc>
          <w:tcPr>
            <w:tcW w:w="1327" w:type="dxa"/>
            <w:vAlign w:val="center"/>
          </w:tcPr>
          <w:p w14:paraId="645F9CB4">
            <w:pPr>
              <w:spacing w:line="360" w:lineRule="auto"/>
              <w:jc w:val="center"/>
              <w:rPr>
                <w:rFonts w:hint="eastAsia" w:ascii="宋体" w:hAnsi="宋体"/>
                <w:szCs w:val="21"/>
              </w:rPr>
            </w:pPr>
          </w:p>
        </w:tc>
        <w:tc>
          <w:tcPr>
            <w:tcW w:w="1327" w:type="dxa"/>
            <w:vAlign w:val="center"/>
          </w:tcPr>
          <w:p w14:paraId="3B73E3F3">
            <w:pPr>
              <w:spacing w:line="360" w:lineRule="auto"/>
              <w:jc w:val="center"/>
              <w:rPr>
                <w:rFonts w:hint="eastAsia" w:ascii="宋体" w:hAnsi="宋体"/>
                <w:szCs w:val="21"/>
              </w:rPr>
            </w:pPr>
          </w:p>
        </w:tc>
      </w:tr>
      <w:tr w14:paraId="3C5F5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restart"/>
            <w:vAlign w:val="center"/>
          </w:tcPr>
          <w:p w14:paraId="6E4E2EC0">
            <w:pPr>
              <w:spacing w:line="360" w:lineRule="auto"/>
              <w:jc w:val="center"/>
              <w:rPr>
                <w:rFonts w:hint="eastAsia" w:ascii="宋体" w:hAnsi="宋体"/>
                <w:szCs w:val="21"/>
              </w:rPr>
            </w:pPr>
            <w:r>
              <w:rPr>
                <w:rFonts w:hint="eastAsia" w:ascii="宋体" w:hAnsi="宋体"/>
                <w:szCs w:val="21"/>
              </w:rPr>
              <w:t>其他主要技术人员</w:t>
            </w:r>
          </w:p>
        </w:tc>
        <w:tc>
          <w:tcPr>
            <w:tcW w:w="1326" w:type="dxa"/>
            <w:vAlign w:val="center"/>
          </w:tcPr>
          <w:p w14:paraId="1AF13D23">
            <w:pPr>
              <w:spacing w:line="360" w:lineRule="auto"/>
              <w:jc w:val="center"/>
              <w:rPr>
                <w:rFonts w:hint="eastAsia" w:ascii="宋体" w:hAnsi="宋体"/>
                <w:szCs w:val="21"/>
              </w:rPr>
            </w:pPr>
          </w:p>
        </w:tc>
        <w:tc>
          <w:tcPr>
            <w:tcW w:w="1327" w:type="dxa"/>
            <w:vAlign w:val="center"/>
          </w:tcPr>
          <w:p w14:paraId="5F9DAF5B">
            <w:pPr>
              <w:spacing w:line="360" w:lineRule="auto"/>
              <w:jc w:val="center"/>
              <w:rPr>
                <w:rFonts w:hint="eastAsia" w:ascii="宋体" w:hAnsi="宋体"/>
                <w:szCs w:val="21"/>
              </w:rPr>
            </w:pPr>
          </w:p>
        </w:tc>
        <w:tc>
          <w:tcPr>
            <w:tcW w:w="1327" w:type="dxa"/>
            <w:vAlign w:val="center"/>
          </w:tcPr>
          <w:p w14:paraId="097CA4A1">
            <w:pPr>
              <w:spacing w:line="360" w:lineRule="auto"/>
              <w:jc w:val="center"/>
              <w:rPr>
                <w:rFonts w:hint="eastAsia" w:ascii="宋体" w:hAnsi="宋体"/>
                <w:szCs w:val="21"/>
              </w:rPr>
            </w:pPr>
          </w:p>
        </w:tc>
        <w:tc>
          <w:tcPr>
            <w:tcW w:w="1327" w:type="dxa"/>
            <w:vAlign w:val="center"/>
          </w:tcPr>
          <w:p w14:paraId="3F713E13">
            <w:pPr>
              <w:spacing w:line="360" w:lineRule="auto"/>
              <w:jc w:val="center"/>
              <w:rPr>
                <w:rFonts w:hint="eastAsia" w:ascii="宋体" w:hAnsi="宋体"/>
                <w:szCs w:val="21"/>
              </w:rPr>
            </w:pPr>
          </w:p>
        </w:tc>
        <w:tc>
          <w:tcPr>
            <w:tcW w:w="1327" w:type="dxa"/>
            <w:vAlign w:val="center"/>
          </w:tcPr>
          <w:p w14:paraId="7FE03244">
            <w:pPr>
              <w:spacing w:line="360" w:lineRule="auto"/>
              <w:jc w:val="center"/>
              <w:rPr>
                <w:rFonts w:hint="eastAsia" w:ascii="宋体" w:hAnsi="宋体"/>
                <w:szCs w:val="21"/>
              </w:rPr>
            </w:pPr>
          </w:p>
        </w:tc>
        <w:tc>
          <w:tcPr>
            <w:tcW w:w="1327" w:type="dxa"/>
            <w:vAlign w:val="center"/>
          </w:tcPr>
          <w:p w14:paraId="463E3A54">
            <w:pPr>
              <w:spacing w:line="360" w:lineRule="auto"/>
              <w:jc w:val="center"/>
              <w:rPr>
                <w:rFonts w:hint="eastAsia" w:ascii="宋体" w:hAnsi="宋体"/>
                <w:szCs w:val="21"/>
              </w:rPr>
            </w:pPr>
          </w:p>
        </w:tc>
      </w:tr>
      <w:tr w14:paraId="2EF23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6CB7D450">
            <w:pPr>
              <w:spacing w:line="360" w:lineRule="auto"/>
              <w:jc w:val="center"/>
              <w:rPr>
                <w:rFonts w:hint="eastAsia" w:ascii="宋体" w:hAnsi="宋体"/>
                <w:szCs w:val="21"/>
              </w:rPr>
            </w:pPr>
          </w:p>
        </w:tc>
        <w:tc>
          <w:tcPr>
            <w:tcW w:w="1326" w:type="dxa"/>
            <w:vAlign w:val="center"/>
          </w:tcPr>
          <w:p w14:paraId="6E93A849">
            <w:pPr>
              <w:spacing w:line="360" w:lineRule="auto"/>
              <w:jc w:val="center"/>
              <w:rPr>
                <w:rFonts w:hint="eastAsia" w:ascii="宋体" w:hAnsi="宋体"/>
                <w:szCs w:val="21"/>
              </w:rPr>
            </w:pPr>
          </w:p>
        </w:tc>
        <w:tc>
          <w:tcPr>
            <w:tcW w:w="1327" w:type="dxa"/>
            <w:vAlign w:val="center"/>
          </w:tcPr>
          <w:p w14:paraId="64DC1594">
            <w:pPr>
              <w:spacing w:line="360" w:lineRule="auto"/>
              <w:jc w:val="center"/>
              <w:rPr>
                <w:rFonts w:hint="eastAsia" w:ascii="宋体" w:hAnsi="宋体"/>
                <w:szCs w:val="21"/>
              </w:rPr>
            </w:pPr>
          </w:p>
        </w:tc>
        <w:tc>
          <w:tcPr>
            <w:tcW w:w="1327" w:type="dxa"/>
            <w:vAlign w:val="center"/>
          </w:tcPr>
          <w:p w14:paraId="22DB5DC0">
            <w:pPr>
              <w:spacing w:line="360" w:lineRule="auto"/>
              <w:jc w:val="center"/>
              <w:rPr>
                <w:rFonts w:hint="eastAsia" w:ascii="宋体" w:hAnsi="宋体"/>
                <w:szCs w:val="21"/>
              </w:rPr>
            </w:pPr>
          </w:p>
        </w:tc>
        <w:tc>
          <w:tcPr>
            <w:tcW w:w="1327" w:type="dxa"/>
            <w:vAlign w:val="center"/>
          </w:tcPr>
          <w:p w14:paraId="55ECB526">
            <w:pPr>
              <w:spacing w:line="360" w:lineRule="auto"/>
              <w:jc w:val="center"/>
              <w:rPr>
                <w:rFonts w:hint="eastAsia" w:ascii="宋体" w:hAnsi="宋体"/>
                <w:szCs w:val="21"/>
              </w:rPr>
            </w:pPr>
          </w:p>
        </w:tc>
        <w:tc>
          <w:tcPr>
            <w:tcW w:w="1327" w:type="dxa"/>
            <w:vAlign w:val="center"/>
          </w:tcPr>
          <w:p w14:paraId="1BF34D90">
            <w:pPr>
              <w:spacing w:line="360" w:lineRule="auto"/>
              <w:jc w:val="center"/>
              <w:rPr>
                <w:rFonts w:hint="eastAsia" w:ascii="宋体" w:hAnsi="宋体"/>
                <w:szCs w:val="21"/>
              </w:rPr>
            </w:pPr>
          </w:p>
        </w:tc>
        <w:tc>
          <w:tcPr>
            <w:tcW w:w="1327" w:type="dxa"/>
            <w:vAlign w:val="center"/>
          </w:tcPr>
          <w:p w14:paraId="2FB2B33A">
            <w:pPr>
              <w:spacing w:line="360" w:lineRule="auto"/>
              <w:jc w:val="center"/>
              <w:rPr>
                <w:rFonts w:hint="eastAsia" w:ascii="宋体" w:hAnsi="宋体"/>
                <w:szCs w:val="21"/>
              </w:rPr>
            </w:pPr>
          </w:p>
        </w:tc>
      </w:tr>
      <w:tr w14:paraId="37FED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38EAACF3">
            <w:pPr>
              <w:spacing w:line="360" w:lineRule="auto"/>
              <w:jc w:val="center"/>
              <w:rPr>
                <w:rFonts w:hint="eastAsia" w:ascii="宋体" w:hAnsi="宋体"/>
                <w:szCs w:val="21"/>
              </w:rPr>
            </w:pPr>
          </w:p>
        </w:tc>
        <w:tc>
          <w:tcPr>
            <w:tcW w:w="1326" w:type="dxa"/>
            <w:vAlign w:val="center"/>
          </w:tcPr>
          <w:p w14:paraId="19EEFD81">
            <w:pPr>
              <w:spacing w:line="360" w:lineRule="auto"/>
              <w:jc w:val="center"/>
              <w:rPr>
                <w:rFonts w:hint="eastAsia" w:ascii="宋体" w:hAnsi="宋体"/>
                <w:szCs w:val="21"/>
              </w:rPr>
            </w:pPr>
          </w:p>
        </w:tc>
        <w:tc>
          <w:tcPr>
            <w:tcW w:w="1327" w:type="dxa"/>
            <w:vAlign w:val="center"/>
          </w:tcPr>
          <w:p w14:paraId="5D2820E2">
            <w:pPr>
              <w:spacing w:line="360" w:lineRule="auto"/>
              <w:jc w:val="center"/>
              <w:rPr>
                <w:rFonts w:hint="eastAsia" w:ascii="宋体" w:hAnsi="宋体"/>
                <w:szCs w:val="21"/>
              </w:rPr>
            </w:pPr>
          </w:p>
        </w:tc>
        <w:tc>
          <w:tcPr>
            <w:tcW w:w="1327" w:type="dxa"/>
            <w:vAlign w:val="center"/>
          </w:tcPr>
          <w:p w14:paraId="4E299044">
            <w:pPr>
              <w:spacing w:line="360" w:lineRule="auto"/>
              <w:jc w:val="center"/>
              <w:rPr>
                <w:rFonts w:hint="eastAsia" w:ascii="宋体" w:hAnsi="宋体"/>
                <w:szCs w:val="21"/>
              </w:rPr>
            </w:pPr>
          </w:p>
        </w:tc>
        <w:tc>
          <w:tcPr>
            <w:tcW w:w="1327" w:type="dxa"/>
            <w:vAlign w:val="center"/>
          </w:tcPr>
          <w:p w14:paraId="5580670E">
            <w:pPr>
              <w:spacing w:line="360" w:lineRule="auto"/>
              <w:jc w:val="center"/>
              <w:rPr>
                <w:rFonts w:hint="eastAsia" w:ascii="宋体" w:hAnsi="宋体"/>
                <w:szCs w:val="21"/>
              </w:rPr>
            </w:pPr>
          </w:p>
        </w:tc>
        <w:tc>
          <w:tcPr>
            <w:tcW w:w="1327" w:type="dxa"/>
            <w:vAlign w:val="center"/>
          </w:tcPr>
          <w:p w14:paraId="22FDC042">
            <w:pPr>
              <w:spacing w:line="360" w:lineRule="auto"/>
              <w:jc w:val="center"/>
              <w:rPr>
                <w:rFonts w:hint="eastAsia" w:ascii="宋体" w:hAnsi="宋体"/>
                <w:szCs w:val="21"/>
              </w:rPr>
            </w:pPr>
          </w:p>
        </w:tc>
        <w:tc>
          <w:tcPr>
            <w:tcW w:w="1327" w:type="dxa"/>
            <w:vAlign w:val="center"/>
          </w:tcPr>
          <w:p w14:paraId="7E681505">
            <w:pPr>
              <w:spacing w:line="360" w:lineRule="auto"/>
              <w:jc w:val="center"/>
              <w:rPr>
                <w:rFonts w:hint="eastAsia" w:ascii="宋体" w:hAnsi="宋体"/>
                <w:szCs w:val="21"/>
              </w:rPr>
            </w:pPr>
          </w:p>
        </w:tc>
      </w:tr>
      <w:tr w14:paraId="4582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0675C985">
            <w:pPr>
              <w:spacing w:line="360" w:lineRule="auto"/>
              <w:jc w:val="center"/>
              <w:rPr>
                <w:rFonts w:hint="eastAsia" w:ascii="宋体" w:hAnsi="宋体"/>
                <w:szCs w:val="21"/>
              </w:rPr>
            </w:pPr>
          </w:p>
        </w:tc>
        <w:tc>
          <w:tcPr>
            <w:tcW w:w="1326" w:type="dxa"/>
            <w:vAlign w:val="center"/>
          </w:tcPr>
          <w:p w14:paraId="59FD103F">
            <w:pPr>
              <w:spacing w:line="360" w:lineRule="auto"/>
              <w:jc w:val="center"/>
              <w:rPr>
                <w:rFonts w:hint="eastAsia" w:ascii="宋体" w:hAnsi="宋体"/>
                <w:szCs w:val="21"/>
              </w:rPr>
            </w:pPr>
          </w:p>
        </w:tc>
        <w:tc>
          <w:tcPr>
            <w:tcW w:w="1327" w:type="dxa"/>
            <w:vAlign w:val="center"/>
          </w:tcPr>
          <w:p w14:paraId="628D4E57">
            <w:pPr>
              <w:spacing w:line="360" w:lineRule="auto"/>
              <w:jc w:val="center"/>
              <w:rPr>
                <w:rFonts w:hint="eastAsia" w:ascii="宋体" w:hAnsi="宋体"/>
                <w:szCs w:val="21"/>
              </w:rPr>
            </w:pPr>
          </w:p>
        </w:tc>
        <w:tc>
          <w:tcPr>
            <w:tcW w:w="1327" w:type="dxa"/>
            <w:vAlign w:val="center"/>
          </w:tcPr>
          <w:p w14:paraId="3C775A93">
            <w:pPr>
              <w:spacing w:line="360" w:lineRule="auto"/>
              <w:jc w:val="center"/>
              <w:rPr>
                <w:rFonts w:hint="eastAsia" w:ascii="宋体" w:hAnsi="宋体"/>
                <w:szCs w:val="21"/>
              </w:rPr>
            </w:pPr>
          </w:p>
        </w:tc>
        <w:tc>
          <w:tcPr>
            <w:tcW w:w="1327" w:type="dxa"/>
            <w:vAlign w:val="center"/>
          </w:tcPr>
          <w:p w14:paraId="07EC8014">
            <w:pPr>
              <w:spacing w:line="360" w:lineRule="auto"/>
              <w:jc w:val="center"/>
              <w:rPr>
                <w:rFonts w:hint="eastAsia" w:ascii="宋体" w:hAnsi="宋体"/>
                <w:szCs w:val="21"/>
              </w:rPr>
            </w:pPr>
          </w:p>
        </w:tc>
        <w:tc>
          <w:tcPr>
            <w:tcW w:w="1327" w:type="dxa"/>
            <w:vAlign w:val="center"/>
          </w:tcPr>
          <w:p w14:paraId="72712E83">
            <w:pPr>
              <w:spacing w:line="360" w:lineRule="auto"/>
              <w:jc w:val="center"/>
              <w:rPr>
                <w:rFonts w:hint="eastAsia" w:ascii="宋体" w:hAnsi="宋体"/>
                <w:szCs w:val="21"/>
              </w:rPr>
            </w:pPr>
          </w:p>
        </w:tc>
        <w:tc>
          <w:tcPr>
            <w:tcW w:w="1327" w:type="dxa"/>
            <w:vAlign w:val="center"/>
          </w:tcPr>
          <w:p w14:paraId="185A8988">
            <w:pPr>
              <w:spacing w:line="360" w:lineRule="auto"/>
              <w:jc w:val="center"/>
              <w:rPr>
                <w:rFonts w:hint="eastAsia" w:ascii="宋体" w:hAnsi="宋体"/>
                <w:szCs w:val="21"/>
              </w:rPr>
            </w:pPr>
          </w:p>
        </w:tc>
      </w:tr>
      <w:tr w14:paraId="3FA7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75AB4A9A">
            <w:pPr>
              <w:spacing w:line="360" w:lineRule="auto"/>
              <w:jc w:val="center"/>
              <w:rPr>
                <w:rFonts w:hint="eastAsia" w:ascii="宋体" w:hAnsi="宋体"/>
                <w:szCs w:val="21"/>
              </w:rPr>
            </w:pPr>
          </w:p>
        </w:tc>
        <w:tc>
          <w:tcPr>
            <w:tcW w:w="1326" w:type="dxa"/>
            <w:vAlign w:val="center"/>
          </w:tcPr>
          <w:p w14:paraId="682FA999">
            <w:pPr>
              <w:spacing w:line="360" w:lineRule="auto"/>
              <w:jc w:val="center"/>
              <w:rPr>
                <w:rFonts w:hint="eastAsia" w:ascii="宋体" w:hAnsi="宋体"/>
                <w:szCs w:val="21"/>
              </w:rPr>
            </w:pPr>
            <w:r>
              <w:rPr>
                <w:rFonts w:ascii="宋体" w:hAnsi="宋体"/>
                <w:szCs w:val="21"/>
              </w:rPr>
              <w:t>…</w:t>
            </w:r>
          </w:p>
        </w:tc>
        <w:tc>
          <w:tcPr>
            <w:tcW w:w="1327" w:type="dxa"/>
            <w:vAlign w:val="center"/>
          </w:tcPr>
          <w:p w14:paraId="4FA7094B">
            <w:pPr>
              <w:spacing w:line="360" w:lineRule="auto"/>
              <w:jc w:val="center"/>
              <w:rPr>
                <w:rFonts w:hint="eastAsia" w:ascii="宋体" w:hAnsi="宋体"/>
                <w:szCs w:val="21"/>
              </w:rPr>
            </w:pPr>
          </w:p>
        </w:tc>
        <w:tc>
          <w:tcPr>
            <w:tcW w:w="1327" w:type="dxa"/>
            <w:vAlign w:val="center"/>
          </w:tcPr>
          <w:p w14:paraId="18552721">
            <w:pPr>
              <w:spacing w:line="360" w:lineRule="auto"/>
              <w:jc w:val="center"/>
              <w:rPr>
                <w:rFonts w:hint="eastAsia" w:ascii="宋体" w:hAnsi="宋体"/>
                <w:szCs w:val="21"/>
              </w:rPr>
            </w:pPr>
          </w:p>
        </w:tc>
        <w:tc>
          <w:tcPr>
            <w:tcW w:w="1327" w:type="dxa"/>
            <w:vAlign w:val="center"/>
          </w:tcPr>
          <w:p w14:paraId="0801F378">
            <w:pPr>
              <w:spacing w:line="360" w:lineRule="auto"/>
              <w:jc w:val="center"/>
              <w:rPr>
                <w:rFonts w:hint="eastAsia" w:ascii="宋体" w:hAnsi="宋体"/>
                <w:szCs w:val="21"/>
              </w:rPr>
            </w:pPr>
          </w:p>
        </w:tc>
        <w:tc>
          <w:tcPr>
            <w:tcW w:w="1327" w:type="dxa"/>
            <w:vAlign w:val="center"/>
          </w:tcPr>
          <w:p w14:paraId="16653D82">
            <w:pPr>
              <w:spacing w:line="360" w:lineRule="auto"/>
              <w:jc w:val="center"/>
              <w:rPr>
                <w:rFonts w:hint="eastAsia" w:ascii="宋体" w:hAnsi="宋体"/>
                <w:szCs w:val="21"/>
              </w:rPr>
            </w:pPr>
          </w:p>
        </w:tc>
        <w:tc>
          <w:tcPr>
            <w:tcW w:w="1327" w:type="dxa"/>
            <w:vAlign w:val="center"/>
          </w:tcPr>
          <w:p w14:paraId="3DF66439">
            <w:pPr>
              <w:spacing w:line="360" w:lineRule="auto"/>
              <w:jc w:val="center"/>
              <w:rPr>
                <w:rFonts w:hint="eastAsia" w:ascii="宋体" w:hAnsi="宋体"/>
                <w:szCs w:val="21"/>
              </w:rPr>
            </w:pPr>
          </w:p>
        </w:tc>
      </w:tr>
    </w:tbl>
    <w:p w14:paraId="649B49BA">
      <w:pPr>
        <w:tabs>
          <w:tab w:val="left" w:pos="540"/>
        </w:tabs>
        <w:rPr>
          <w:rFonts w:hint="eastAsia" w:ascii="宋体" w:hAnsi="宋体"/>
          <w:szCs w:val="21"/>
          <w:lang w:val="en-GB"/>
        </w:rPr>
      </w:pPr>
    </w:p>
    <w:p w14:paraId="736B33FC">
      <w:pPr>
        <w:widowControl/>
        <w:jc w:val="left"/>
        <w:rPr>
          <w:rFonts w:ascii="Times New Roman" w:hAnsi="Times New Roman"/>
          <w:b/>
          <w:bCs/>
          <w:sz w:val="28"/>
          <w:szCs w:val="28"/>
        </w:rPr>
      </w:pPr>
      <w:r>
        <w:rPr>
          <w:rFonts w:ascii="Times New Roman" w:hAnsi="Times New Roman"/>
          <w:b/>
          <w:bCs/>
          <w:sz w:val="28"/>
          <w:szCs w:val="28"/>
        </w:rPr>
        <w:br w:type="page"/>
      </w:r>
    </w:p>
    <w:p w14:paraId="41988BA4">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4.6 投标人认为有必要提供的其它资料（如有）</w:t>
      </w:r>
    </w:p>
    <w:p w14:paraId="668266A8">
      <w:pPr>
        <w:spacing w:line="360" w:lineRule="auto"/>
        <w:rPr>
          <w:rFonts w:hint="eastAsia" w:ascii="宋体" w:hAnsi="宋体"/>
          <w:szCs w:val="21"/>
        </w:rPr>
      </w:pPr>
    </w:p>
    <w:p w14:paraId="49975D36">
      <w:pPr>
        <w:keepNext/>
        <w:keepLines/>
        <w:adjustRightInd w:val="0"/>
        <w:snapToGrid w:val="0"/>
        <w:spacing w:before="280" w:after="290"/>
        <w:outlineLvl w:val="3"/>
        <w:rPr>
          <w:sz w:val="16"/>
          <w:szCs w:val="21"/>
        </w:rPr>
      </w:pPr>
      <w:r>
        <w:rPr>
          <w:szCs w:val="21"/>
        </w:rPr>
        <w:br w:type="page"/>
      </w:r>
    </w:p>
    <w:bookmarkEnd w:id="38"/>
    <w:bookmarkEnd w:id="39"/>
    <w:p w14:paraId="4CA94930">
      <w:pPr>
        <w:keepNext/>
        <w:keepLines/>
        <w:widowControl/>
        <w:spacing w:after="156" w:afterLines="50" w:line="413" w:lineRule="auto"/>
        <w:outlineLvl w:val="1"/>
        <w:rPr>
          <w:rFonts w:ascii="Times New Roman" w:hAnsi="Times New Roman"/>
          <w:b/>
          <w:bCs/>
          <w:kern w:val="0"/>
          <w:sz w:val="32"/>
          <w:szCs w:val="32"/>
        </w:rPr>
      </w:pPr>
      <w:bookmarkStart w:id="41" w:name="_Hlk52290784"/>
      <w:r>
        <w:rPr>
          <w:rFonts w:hint="eastAsia" w:ascii="Times New Roman" w:hAnsi="Times New Roman"/>
          <w:b/>
          <w:bCs/>
          <w:kern w:val="0"/>
          <w:sz w:val="32"/>
          <w:szCs w:val="32"/>
        </w:rPr>
        <w:t>五、技术部分</w:t>
      </w:r>
    </w:p>
    <w:p w14:paraId="11C14728">
      <w:pPr>
        <w:keepNext/>
        <w:keepLines/>
        <w:adjustRightInd w:val="0"/>
        <w:snapToGrid w:val="0"/>
        <w:spacing w:before="280" w:after="290"/>
        <w:outlineLvl w:val="3"/>
        <w:rPr>
          <w:rFonts w:ascii="Times New Roman" w:hAnsi="Times New Roman"/>
          <w:b/>
          <w:bCs/>
          <w:sz w:val="28"/>
          <w:szCs w:val="28"/>
        </w:rPr>
      </w:pPr>
      <w:r>
        <w:rPr>
          <w:rFonts w:hint="eastAsia" w:ascii="Times New Roman" w:hAnsi="Times New Roman"/>
          <w:b/>
          <w:bCs/>
          <w:sz w:val="28"/>
          <w:szCs w:val="28"/>
        </w:rPr>
        <w:t>5.1</w:t>
      </w:r>
      <w:r>
        <w:rPr>
          <w:rFonts w:ascii="Times New Roman" w:hAnsi="Times New Roman"/>
          <w:b/>
          <w:bCs/>
          <w:sz w:val="28"/>
          <w:szCs w:val="28"/>
        </w:rPr>
        <w:t xml:space="preserve"> </w:t>
      </w:r>
      <w:r>
        <w:rPr>
          <w:rFonts w:hint="eastAsia" w:ascii="Times New Roman" w:hAnsi="Times New Roman"/>
          <w:b/>
          <w:bCs/>
          <w:sz w:val="28"/>
          <w:szCs w:val="28"/>
        </w:rPr>
        <w:t>重要要求响应表</w:t>
      </w:r>
    </w:p>
    <w:p w14:paraId="0B4052AC">
      <w:pPr>
        <w:spacing w:line="360" w:lineRule="auto"/>
        <w:ind w:firstLine="420"/>
      </w:pPr>
      <w:r>
        <w:t>[</w:t>
      </w:r>
      <w:r>
        <w:rPr>
          <w:rFonts w:hint="eastAsia"/>
        </w:rPr>
        <w:t>说明</w:t>
      </w:r>
      <w:r>
        <w:t>]</w:t>
      </w:r>
      <w:r>
        <w:rPr>
          <w:rFonts w:hint="eastAsia"/>
          <w:b/>
        </w:rPr>
        <w:t xml:space="preserve"> 投标人应根据其提供的服务，逐条对照招标文件《用户需求书》的内容要求填写：凡列出的“</w:t>
      </w:r>
      <w:r>
        <w:rPr>
          <w:rFonts w:hint="eastAsia"/>
        </w:rPr>
        <w:t>★</w:t>
      </w:r>
      <w:r>
        <w:rPr>
          <w:rFonts w:hint="eastAsia"/>
          <w:b/>
        </w:rPr>
        <w:t>”号条款，要求必须完全响应，投标人须在此表中逐一列明响应情况及简要内容，以便查对和评标。“是否响应”列填“无偏离”或“正偏离”或“负偏离”，无论何种偏离均须在“实际响应的具体内容”栏内扼要说明偏离情况。对没有列出或者空白，视同完全响应。</w:t>
      </w:r>
    </w:p>
    <w:tbl>
      <w:tblPr>
        <w:tblStyle w:val="22"/>
        <w:tblW w:w="932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30" w:type="dxa"/>
          <w:bottom w:w="0" w:type="dxa"/>
          <w:right w:w="30" w:type="dxa"/>
        </w:tblCellMar>
      </w:tblPr>
      <w:tblGrid>
        <w:gridCol w:w="405"/>
        <w:gridCol w:w="4513"/>
        <w:gridCol w:w="992"/>
        <w:gridCol w:w="3414"/>
      </w:tblGrid>
      <w:tr w14:paraId="2D5157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tblHeader/>
          <w:jc w:val="center"/>
        </w:trPr>
        <w:tc>
          <w:tcPr>
            <w:tcW w:w="405" w:type="dxa"/>
            <w:vMerge w:val="restart"/>
            <w:vAlign w:val="center"/>
          </w:tcPr>
          <w:p w14:paraId="4E6E6C60">
            <w:pPr>
              <w:rPr>
                <w:rFonts w:hint="eastAsia" w:ascii="宋体" w:hAnsi="宋体"/>
                <w:szCs w:val="21"/>
              </w:rPr>
            </w:pPr>
            <w:r>
              <w:rPr>
                <w:rFonts w:hint="eastAsia" w:ascii="宋体" w:hAnsi="宋体"/>
                <w:szCs w:val="21"/>
              </w:rPr>
              <w:t>序号</w:t>
            </w:r>
          </w:p>
        </w:tc>
        <w:tc>
          <w:tcPr>
            <w:tcW w:w="4513" w:type="dxa"/>
            <w:vAlign w:val="center"/>
          </w:tcPr>
          <w:p w14:paraId="31E23B55">
            <w:pPr>
              <w:jc w:val="center"/>
              <w:rPr>
                <w:rFonts w:hint="eastAsia" w:ascii="宋体" w:hAnsi="宋体"/>
                <w:szCs w:val="21"/>
              </w:rPr>
            </w:pPr>
            <w:r>
              <w:rPr>
                <w:rFonts w:hint="eastAsia" w:ascii="宋体" w:hAnsi="宋体"/>
                <w:szCs w:val="21"/>
              </w:rPr>
              <w:t>招标文件要求</w:t>
            </w:r>
          </w:p>
        </w:tc>
        <w:tc>
          <w:tcPr>
            <w:tcW w:w="4406" w:type="dxa"/>
            <w:gridSpan w:val="2"/>
            <w:vAlign w:val="center"/>
          </w:tcPr>
          <w:p w14:paraId="79C637CC">
            <w:pPr>
              <w:jc w:val="center"/>
              <w:rPr>
                <w:rFonts w:hint="eastAsia" w:ascii="宋体" w:hAnsi="宋体"/>
                <w:szCs w:val="21"/>
              </w:rPr>
            </w:pPr>
            <w:r>
              <w:rPr>
                <w:rFonts w:hint="eastAsia" w:ascii="宋体" w:hAnsi="宋体"/>
                <w:szCs w:val="21"/>
              </w:rPr>
              <w:t>投标文件内容</w:t>
            </w:r>
          </w:p>
        </w:tc>
      </w:tr>
      <w:tr w14:paraId="0753EF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tblHeader/>
          <w:jc w:val="center"/>
        </w:trPr>
        <w:tc>
          <w:tcPr>
            <w:tcW w:w="405" w:type="dxa"/>
            <w:vMerge w:val="continue"/>
            <w:vAlign w:val="center"/>
          </w:tcPr>
          <w:p w14:paraId="77321271">
            <w:pPr>
              <w:spacing w:line="360" w:lineRule="auto"/>
              <w:rPr>
                <w:rFonts w:hint="eastAsia" w:ascii="宋体" w:hAnsi="宋体"/>
                <w:szCs w:val="21"/>
              </w:rPr>
            </w:pPr>
          </w:p>
        </w:tc>
        <w:tc>
          <w:tcPr>
            <w:tcW w:w="4513" w:type="dxa"/>
            <w:vAlign w:val="center"/>
          </w:tcPr>
          <w:p w14:paraId="4E6D4360">
            <w:pPr>
              <w:jc w:val="center"/>
              <w:rPr>
                <w:rFonts w:hint="eastAsia" w:ascii="宋体" w:hAnsi="宋体" w:cs="宋体"/>
                <w:b/>
                <w:bCs/>
                <w:szCs w:val="21"/>
              </w:rPr>
            </w:pPr>
            <w:r>
              <w:rPr>
                <w:rFonts w:hint="eastAsia" w:ascii="宋体" w:hAnsi="宋体" w:cs="宋体"/>
                <w:b/>
                <w:bCs/>
                <w:szCs w:val="21"/>
              </w:rPr>
              <w:t>招标要求</w:t>
            </w:r>
          </w:p>
        </w:tc>
        <w:tc>
          <w:tcPr>
            <w:tcW w:w="992" w:type="dxa"/>
            <w:tcBorders>
              <w:bottom w:val="single" w:color="auto" w:sz="2" w:space="0"/>
            </w:tcBorders>
            <w:vAlign w:val="center"/>
          </w:tcPr>
          <w:p w14:paraId="66445F81">
            <w:pPr>
              <w:jc w:val="center"/>
              <w:rPr>
                <w:rFonts w:hint="eastAsia" w:ascii="宋体" w:hAnsi="宋体"/>
                <w:szCs w:val="21"/>
              </w:rPr>
            </w:pPr>
            <w:r>
              <w:rPr>
                <w:rFonts w:hint="eastAsia" w:ascii="宋体" w:hAnsi="宋体"/>
                <w:szCs w:val="21"/>
              </w:rPr>
              <w:t>是否响应</w:t>
            </w:r>
          </w:p>
        </w:tc>
        <w:tc>
          <w:tcPr>
            <w:tcW w:w="3414" w:type="dxa"/>
            <w:tcBorders>
              <w:bottom w:val="single" w:color="auto" w:sz="2" w:space="0"/>
            </w:tcBorders>
            <w:vAlign w:val="center"/>
          </w:tcPr>
          <w:p w14:paraId="75572E24">
            <w:pPr>
              <w:jc w:val="center"/>
              <w:rPr>
                <w:rFonts w:hint="eastAsia" w:ascii="宋体" w:hAnsi="宋体"/>
                <w:szCs w:val="21"/>
              </w:rPr>
            </w:pPr>
            <w:r>
              <w:rPr>
                <w:rFonts w:hint="eastAsia" w:ascii="宋体" w:hAnsi="宋体"/>
                <w:szCs w:val="21"/>
              </w:rPr>
              <w:t>实际响应的具体内容</w:t>
            </w:r>
          </w:p>
        </w:tc>
      </w:tr>
      <w:tr w14:paraId="05DC06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4"/>
            <w:vAlign w:val="center"/>
          </w:tcPr>
          <w:p w14:paraId="59E8E377">
            <w:pPr>
              <w:rPr>
                <w:rFonts w:hint="eastAsia" w:ascii="宋体" w:hAnsi="宋体"/>
                <w:b/>
                <w:szCs w:val="21"/>
              </w:rPr>
            </w:pPr>
            <w:r>
              <w:rPr>
                <w:rFonts w:hint="eastAsia" w:ascii="宋体" w:hAnsi="宋体"/>
                <w:b/>
                <w:szCs w:val="21"/>
              </w:rPr>
              <w:t>“</w:t>
            </w:r>
            <w:r>
              <w:rPr>
                <w:rFonts w:hint="eastAsia"/>
              </w:rPr>
              <w:t>★</w:t>
            </w:r>
            <w:r>
              <w:rPr>
                <w:rFonts w:hint="eastAsia" w:ascii="宋体" w:hAnsi="宋体"/>
                <w:b/>
                <w:szCs w:val="21"/>
              </w:rPr>
              <w:t>”号条款：</w:t>
            </w:r>
          </w:p>
        </w:tc>
      </w:tr>
      <w:tr w14:paraId="4A9290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7DC8D442">
            <w:pPr>
              <w:numPr>
                <w:ilvl w:val="0"/>
                <w:numId w:val="5"/>
              </w:numPr>
              <w:tabs>
                <w:tab w:val="left" w:pos="94"/>
              </w:tabs>
              <w:jc w:val="center"/>
              <w:rPr>
                <w:rFonts w:hint="eastAsia" w:ascii="宋体" w:hAnsi="宋体"/>
                <w:sz w:val="18"/>
                <w:szCs w:val="18"/>
              </w:rPr>
            </w:pPr>
          </w:p>
        </w:tc>
        <w:tc>
          <w:tcPr>
            <w:tcW w:w="4513" w:type="dxa"/>
            <w:vAlign w:val="center"/>
          </w:tcPr>
          <w:p w14:paraId="1AFDAB6D">
            <w:pPr>
              <w:tabs>
                <w:tab w:val="left" w:pos="420"/>
              </w:tabs>
              <w:rPr>
                <w:rFonts w:hint="eastAsia" w:ascii="宋体" w:hAnsi="宋体"/>
                <w:sz w:val="18"/>
                <w:szCs w:val="18"/>
              </w:rPr>
            </w:pPr>
          </w:p>
        </w:tc>
        <w:tc>
          <w:tcPr>
            <w:tcW w:w="992" w:type="dxa"/>
            <w:vAlign w:val="center"/>
          </w:tcPr>
          <w:p w14:paraId="6F5AF448">
            <w:pPr>
              <w:jc w:val="center"/>
              <w:rPr>
                <w:rFonts w:hint="eastAsia" w:ascii="宋体" w:hAnsi="宋体"/>
                <w:szCs w:val="21"/>
              </w:rPr>
            </w:pPr>
          </w:p>
        </w:tc>
        <w:tc>
          <w:tcPr>
            <w:tcW w:w="3414" w:type="dxa"/>
            <w:vAlign w:val="center"/>
          </w:tcPr>
          <w:p w14:paraId="69ED059C">
            <w:pPr>
              <w:jc w:val="center"/>
              <w:rPr>
                <w:rFonts w:hint="eastAsia" w:ascii="宋体" w:hAnsi="宋体"/>
                <w:szCs w:val="21"/>
              </w:rPr>
            </w:pPr>
          </w:p>
        </w:tc>
      </w:tr>
      <w:tr w14:paraId="15BD97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1FEA911C">
            <w:pPr>
              <w:numPr>
                <w:ilvl w:val="0"/>
                <w:numId w:val="5"/>
              </w:numPr>
              <w:tabs>
                <w:tab w:val="left" w:pos="94"/>
              </w:tabs>
              <w:jc w:val="center"/>
              <w:rPr>
                <w:rFonts w:hint="eastAsia" w:ascii="宋体" w:hAnsi="宋体"/>
                <w:sz w:val="18"/>
                <w:szCs w:val="18"/>
              </w:rPr>
            </w:pPr>
          </w:p>
        </w:tc>
        <w:tc>
          <w:tcPr>
            <w:tcW w:w="4513" w:type="dxa"/>
            <w:vAlign w:val="center"/>
          </w:tcPr>
          <w:p w14:paraId="0567AEE0">
            <w:pPr>
              <w:tabs>
                <w:tab w:val="left" w:pos="420"/>
              </w:tabs>
              <w:rPr>
                <w:rFonts w:hint="eastAsia" w:ascii="宋体" w:hAnsi="宋体"/>
                <w:sz w:val="18"/>
                <w:szCs w:val="18"/>
              </w:rPr>
            </w:pPr>
          </w:p>
        </w:tc>
        <w:tc>
          <w:tcPr>
            <w:tcW w:w="992" w:type="dxa"/>
            <w:vAlign w:val="center"/>
          </w:tcPr>
          <w:p w14:paraId="5FB9FFFB">
            <w:pPr>
              <w:jc w:val="center"/>
              <w:rPr>
                <w:rFonts w:hint="eastAsia" w:ascii="宋体" w:hAnsi="宋体"/>
                <w:szCs w:val="21"/>
              </w:rPr>
            </w:pPr>
          </w:p>
        </w:tc>
        <w:tc>
          <w:tcPr>
            <w:tcW w:w="3414" w:type="dxa"/>
            <w:vAlign w:val="center"/>
          </w:tcPr>
          <w:p w14:paraId="1AC2C71A">
            <w:pPr>
              <w:jc w:val="center"/>
              <w:rPr>
                <w:rFonts w:hint="eastAsia" w:ascii="宋体" w:hAnsi="宋体"/>
                <w:szCs w:val="21"/>
              </w:rPr>
            </w:pPr>
          </w:p>
        </w:tc>
      </w:tr>
      <w:tr w14:paraId="1D4D69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4"/>
            <w:vAlign w:val="center"/>
          </w:tcPr>
          <w:p w14:paraId="3308E24E">
            <w:pPr>
              <w:rPr>
                <w:rFonts w:hint="eastAsia" w:ascii="宋体" w:hAnsi="宋体"/>
                <w:szCs w:val="21"/>
              </w:rPr>
            </w:pPr>
            <w:r>
              <w:rPr>
                <w:rFonts w:hint="eastAsia" w:ascii="宋体" w:hAnsi="宋体"/>
                <w:b/>
                <w:szCs w:val="21"/>
              </w:rPr>
              <w:t>“</w:t>
            </w:r>
            <w:r>
              <w:rPr>
                <w:rFonts w:hint="eastAsia" w:ascii="宋体" w:hAnsi="宋体"/>
                <w:b/>
                <w:bCs/>
                <w:szCs w:val="24"/>
              </w:rPr>
              <w:t>▲</w:t>
            </w:r>
            <w:r>
              <w:rPr>
                <w:rFonts w:hint="eastAsia" w:ascii="宋体" w:hAnsi="宋体"/>
                <w:b/>
                <w:szCs w:val="21"/>
              </w:rPr>
              <w:t>”号条款：</w:t>
            </w:r>
          </w:p>
        </w:tc>
      </w:tr>
      <w:tr w14:paraId="48F073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65EC1B76">
            <w:pPr>
              <w:tabs>
                <w:tab w:val="left" w:pos="94"/>
              </w:tabs>
              <w:jc w:val="center"/>
              <w:rPr>
                <w:rFonts w:hint="eastAsia" w:ascii="宋体" w:hAnsi="宋体"/>
                <w:sz w:val="18"/>
                <w:szCs w:val="18"/>
              </w:rPr>
            </w:pPr>
            <w:r>
              <w:rPr>
                <w:rFonts w:hint="eastAsia" w:ascii="宋体" w:hAnsi="宋体"/>
                <w:sz w:val="18"/>
                <w:szCs w:val="18"/>
              </w:rPr>
              <w:t>1</w:t>
            </w:r>
          </w:p>
        </w:tc>
        <w:tc>
          <w:tcPr>
            <w:tcW w:w="4513" w:type="dxa"/>
            <w:vAlign w:val="center"/>
          </w:tcPr>
          <w:p w14:paraId="168494CA">
            <w:pPr>
              <w:tabs>
                <w:tab w:val="left" w:pos="420"/>
              </w:tabs>
              <w:rPr>
                <w:rFonts w:hint="eastAsia" w:ascii="宋体" w:hAnsi="宋体"/>
                <w:sz w:val="18"/>
                <w:szCs w:val="18"/>
              </w:rPr>
            </w:pPr>
          </w:p>
        </w:tc>
        <w:tc>
          <w:tcPr>
            <w:tcW w:w="992" w:type="dxa"/>
            <w:vAlign w:val="center"/>
          </w:tcPr>
          <w:p w14:paraId="160D7DEA">
            <w:pPr>
              <w:jc w:val="center"/>
              <w:rPr>
                <w:rFonts w:hint="eastAsia" w:ascii="宋体" w:hAnsi="宋体"/>
                <w:szCs w:val="21"/>
              </w:rPr>
            </w:pPr>
          </w:p>
        </w:tc>
        <w:tc>
          <w:tcPr>
            <w:tcW w:w="3414" w:type="dxa"/>
            <w:vAlign w:val="center"/>
          </w:tcPr>
          <w:p w14:paraId="4FDA855D">
            <w:pPr>
              <w:jc w:val="center"/>
              <w:rPr>
                <w:rFonts w:hint="eastAsia" w:ascii="宋体" w:hAnsi="宋体"/>
                <w:szCs w:val="21"/>
              </w:rPr>
            </w:pPr>
          </w:p>
        </w:tc>
      </w:tr>
      <w:tr w14:paraId="4107E1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6F7732D9">
            <w:pPr>
              <w:tabs>
                <w:tab w:val="left" w:pos="94"/>
              </w:tabs>
              <w:jc w:val="center"/>
              <w:rPr>
                <w:rFonts w:hint="eastAsia" w:ascii="宋体" w:hAnsi="宋体"/>
                <w:sz w:val="18"/>
                <w:szCs w:val="18"/>
              </w:rPr>
            </w:pPr>
          </w:p>
        </w:tc>
        <w:tc>
          <w:tcPr>
            <w:tcW w:w="4513" w:type="dxa"/>
            <w:vAlign w:val="center"/>
          </w:tcPr>
          <w:p w14:paraId="19A1EFC5">
            <w:pPr>
              <w:tabs>
                <w:tab w:val="left" w:pos="420"/>
              </w:tabs>
              <w:rPr>
                <w:rFonts w:hint="eastAsia" w:ascii="宋体" w:hAnsi="宋体"/>
                <w:sz w:val="18"/>
                <w:szCs w:val="18"/>
              </w:rPr>
            </w:pPr>
          </w:p>
        </w:tc>
        <w:tc>
          <w:tcPr>
            <w:tcW w:w="992" w:type="dxa"/>
            <w:vAlign w:val="center"/>
          </w:tcPr>
          <w:p w14:paraId="7CC23A6D">
            <w:pPr>
              <w:jc w:val="center"/>
              <w:rPr>
                <w:rFonts w:hint="eastAsia" w:ascii="宋体" w:hAnsi="宋体"/>
                <w:szCs w:val="21"/>
              </w:rPr>
            </w:pPr>
          </w:p>
        </w:tc>
        <w:tc>
          <w:tcPr>
            <w:tcW w:w="3414" w:type="dxa"/>
            <w:vAlign w:val="center"/>
          </w:tcPr>
          <w:p w14:paraId="38C3666A">
            <w:pPr>
              <w:jc w:val="center"/>
              <w:rPr>
                <w:rFonts w:hint="eastAsia" w:ascii="宋体" w:hAnsi="宋体"/>
                <w:szCs w:val="21"/>
              </w:rPr>
            </w:pPr>
          </w:p>
        </w:tc>
      </w:tr>
      <w:tr w14:paraId="263631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4"/>
            <w:vAlign w:val="center"/>
          </w:tcPr>
          <w:p w14:paraId="2D0DFD33">
            <w:pPr>
              <w:rPr>
                <w:rFonts w:hint="eastAsia" w:ascii="宋体" w:hAnsi="宋体"/>
                <w:b/>
                <w:szCs w:val="21"/>
              </w:rPr>
            </w:pPr>
            <w:r>
              <w:rPr>
                <w:rFonts w:hint="eastAsia" w:ascii="宋体" w:hAnsi="宋体"/>
                <w:b/>
                <w:szCs w:val="21"/>
              </w:rPr>
              <w:t>非“</w:t>
            </w:r>
            <w:r>
              <w:rPr>
                <w:rFonts w:hint="eastAsia"/>
              </w:rPr>
              <w:t>★</w:t>
            </w:r>
            <w:r>
              <w:rPr>
                <w:rFonts w:hint="eastAsia" w:ascii="宋体" w:hAnsi="宋体"/>
                <w:b/>
                <w:szCs w:val="21"/>
              </w:rPr>
              <w:t>”、“</w:t>
            </w:r>
            <w:r>
              <w:rPr>
                <w:rFonts w:hint="eastAsia" w:ascii="宋体" w:hAnsi="宋体"/>
                <w:b/>
                <w:bCs/>
                <w:szCs w:val="24"/>
              </w:rPr>
              <w:t>▲</w:t>
            </w:r>
            <w:r>
              <w:rPr>
                <w:rFonts w:hint="eastAsia" w:ascii="宋体" w:hAnsi="宋体"/>
                <w:b/>
                <w:szCs w:val="21"/>
              </w:rPr>
              <w:t>”号条款：</w:t>
            </w:r>
          </w:p>
        </w:tc>
      </w:tr>
      <w:tr w14:paraId="545A40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6D588EB7">
            <w:pPr>
              <w:jc w:val="center"/>
              <w:rPr>
                <w:rFonts w:hint="eastAsia" w:ascii="宋体" w:hAnsi="宋体"/>
                <w:sz w:val="18"/>
                <w:szCs w:val="18"/>
              </w:rPr>
            </w:pPr>
            <w:r>
              <w:rPr>
                <w:rFonts w:hint="eastAsia" w:ascii="宋体" w:hAnsi="宋体"/>
                <w:sz w:val="18"/>
                <w:szCs w:val="18"/>
              </w:rPr>
              <w:t>1</w:t>
            </w:r>
          </w:p>
        </w:tc>
        <w:tc>
          <w:tcPr>
            <w:tcW w:w="4513" w:type="dxa"/>
            <w:vAlign w:val="center"/>
          </w:tcPr>
          <w:p w14:paraId="63C6BF2F">
            <w:pPr>
              <w:rPr>
                <w:rFonts w:hint="eastAsia" w:ascii="宋体" w:hAnsi="宋体"/>
                <w:sz w:val="18"/>
                <w:szCs w:val="18"/>
              </w:rPr>
            </w:pPr>
          </w:p>
        </w:tc>
        <w:tc>
          <w:tcPr>
            <w:tcW w:w="992" w:type="dxa"/>
            <w:vAlign w:val="center"/>
          </w:tcPr>
          <w:p w14:paraId="42C7B2F4">
            <w:pPr>
              <w:jc w:val="center"/>
              <w:rPr>
                <w:rFonts w:hint="eastAsia" w:ascii="宋体" w:hAnsi="宋体"/>
                <w:szCs w:val="21"/>
              </w:rPr>
            </w:pPr>
          </w:p>
        </w:tc>
        <w:tc>
          <w:tcPr>
            <w:tcW w:w="3414" w:type="dxa"/>
            <w:vAlign w:val="center"/>
          </w:tcPr>
          <w:p w14:paraId="3FC0AEE1">
            <w:pPr>
              <w:jc w:val="center"/>
              <w:rPr>
                <w:rFonts w:hint="eastAsia" w:ascii="宋体" w:hAnsi="宋体"/>
                <w:szCs w:val="21"/>
              </w:rPr>
            </w:pPr>
          </w:p>
        </w:tc>
      </w:tr>
      <w:tr w14:paraId="612749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268EB4EB">
            <w:pPr>
              <w:jc w:val="center"/>
              <w:rPr>
                <w:rFonts w:hint="eastAsia" w:ascii="宋体" w:hAnsi="宋体"/>
                <w:sz w:val="18"/>
                <w:szCs w:val="18"/>
              </w:rPr>
            </w:pPr>
            <w:r>
              <w:rPr>
                <w:rFonts w:hint="eastAsia" w:ascii="宋体" w:hAnsi="宋体"/>
                <w:sz w:val="18"/>
                <w:szCs w:val="18"/>
              </w:rPr>
              <w:t>2</w:t>
            </w:r>
          </w:p>
        </w:tc>
        <w:tc>
          <w:tcPr>
            <w:tcW w:w="4513" w:type="dxa"/>
            <w:vAlign w:val="center"/>
          </w:tcPr>
          <w:p w14:paraId="32B35178">
            <w:pPr>
              <w:rPr>
                <w:rFonts w:hint="eastAsia" w:ascii="宋体" w:hAnsi="宋体"/>
                <w:sz w:val="18"/>
                <w:szCs w:val="18"/>
              </w:rPr>
            </w:pPr>
          </w:p>
        </w:tc>
        <w:tc>
          <w:tcPr>
            <w:tcW w:w="992" w:type="dxa"/>
            <w:vAlign w:val="center"/>
          </w:tcPr>
          <w:p w14:paraId="40D5A6A7">
            <w:pPr>
              <w:jc w:val="center"/>
              <w:rPr>
                <w:rFonts w:hint="eastAsia" w:ascii="宋体" w:hAnsi="宋体"/>
                <w:szCs w:val="21"/>
              </w:rPr>
            </w:pPr>
          </w:p>
        </w:tc>
        <w:tc>
          <w:tcPr>
            <w:tcW w:w="3414" w:type="dxa"/>
            <w:vAlign w:val="center"/>
          </w:tcPr>
          <w:p w14:paraId="1B542E61">
            <w:pPr>
              <w:jc w:val="center"/>
              <w:rPr>
                <w:rFonts w:hint="eastAsia" w:ascii="宋体" w:hAnsi="宋体"/>
                <w:szCs w:val="21"/>
              </w:rPr>
            </w:pPr>
          </w:p>
        </w:tc>
      </w:tr>
    </w:tbl>
    <w:p w14:paraId="78D432DD">
      <w:pPr>
        <w:ind w:firstLine="420" w:firstLineChars="200"/>
        <w:rPr>
          <w:rFonts w:hint="eastAsia" w:ascii="宋体" w:hAnsi="宋体"/>
          <w:szCs w:val="21"/>
          <w:lang w:val="en-GB"/>
        </w:rPr>
      </w:pPr>
      <w:r>
        <w:rPr>
          <w:rFonts w:hint="eastAsia" w:ascii="宋体"/>
        </w:rPr>
        <w:t>注：1、</w:t>
      </w:r>
      <w:r>
        <w:rPr>
          <w:rFonts w:hint="eastAsia" w:ascii="宋体" w:hAnsi="宋体"/>
          <w:szCs w:val="21"/>
          <w:lang w:val="en-GB"/>
        </w:rPr>
        <w:t>表内容必须与投标文件中所介绍的内容一致；</w:t>
      </w:r>
      <w:r>
        <w:rPr>
          <w:rFonts w:hint="eastAsia"/>
          <w:b/>
          <w:szCs w:val="21"/>
        </w:rPr>
        <w:t>对没有列出或者空白，视为没有偏差。</w:t>
      </w:r>
    </w:p>
    <w:p w14:paraId="0E442F74">
      <w:pPr>
        <w:ind w:left="1029" w:leftChars="190" w:hanging="630" w:hangingChars="300"/>
        <w:rPr>
          <w:rFonts w:hint="eastAsia" w:ascii="宋体" w:hAnsi="宋体"/>
          <w:szCs w:val="21"/>
        </w:rPr>
      </w:pPr>
      <w:r>
        <w:rPr>
          <w:rFonts w:hint="eastAsia" w:ascii="宋体" w:hAnsi="宋体"/>
          <w:szCs w:val="21"/>
        </w:rPr>
        <w:t xml:space="preserve">    2、</w:t>
      </w:r>
      <w:r>
        <w:rPr>
          <w:rFonts w:hint="eastAsia"/>
          <w:szCs w:val="21"/>
        </w:rPr>
        <w:t>投标人响应招标需求应具体、明确，含糊不清、不确切或伪造、变造证明材料的，按照不完全响应或者完全不响应处理。构成提供虚假材料的，移送监管部门查处。</w:t>
      </w:r>
    </w:p>
    <w:p w14:paraId="78BC338A">
      <w:pPr>
        <w:ind w:firstLine="840" w:firstLineChars="400"/>
        <w:rPr>
          <w:rFonts w:ascii="宋体"/>
        </w:rPr>
      </w:pPr>
      <w:r>
        <w:rPr>
          <w:rFonts w:hint="eastAsia" w:ascii="宋体"/>
        </w:rPr>
        <w:t>3、如投标人差异内容较多可另附页说明。</w:t>
      </w:r>
      <w:bookmarkStart w:id="42" w:name="_Hlt10523642"/>
      <w:bookmarkEnd w:id="42"/>
    </w:p>
    <w:p w14:paraId="7BE637A5">
      <w:pPr>
        <w:rPr>
          <w:szCs w:val="21"/>
          <w:lang w:val="en-GB"/>
        </w:rPr>
      </w:pPr>
    </w:p>
    <w:p w14:paraId="7550193B">
      <w:pPr>
        <w:rPr>
          <w:szCs w:val="21"/>
          <w:lang w:val="en-GB"/>
        </w:rPr>
      </w:pPr>
    </w:p>
    <w:p w14:paraId="262B1488">
      <w:pPr>
        <w:adjustRightInd w:val="0"/>
        <w:snapToGrid w:val="0"/>
        <w:spacing w:line="300" w:lineRule="auto"/>
        <w:jc w:val="left"/>
        <w:rPr>
          <w:szCs w:val="21"/>
          <w:u w:val="single"/>
        </w:rPr>
      </w:pPr>
      <w:r>
        <w:rPr>
          <w:rFonts w:hint="eastAsia"/>
          <w:szCs w:val="21"/>
        </w:rPr>
        <w:t>投标人名称：____________________</w:t>
      </w:r>
    </w:p>
    <w:p w14:paraId="2B53CFEE">
      <w:pPr>
        <w:spacing w:line="360" w:lineRule="auto"/>
        <w:jc w:val="left"/>
        <w:rPr>
          <w:rFonts w:hint="eastAsia" w:ascii="宋体" w:hAnsi="宋体"/>
          <w:szCs w:val="21"/>
          <w:lang w:val="en-GB"/>
        </w:rPr>
      </w:pPr>
      <w:r>
        <w:rPr>
          <w:rFonts w:hint="eastAsia"/>
          <w:szCs w:val="21"/>
        </w:rPr>
        <w:t>日期：   年   月   日</w:t>
      </w:r>
    </w:p>
    <w:p w14:paraId="42FF2D61">
      <w:pPr>
        <w:rPr>
          <w:szCs w:val="21"/>
        </w:rPr>
      </w:pPr>
    </w:p>
    <w:p w14:paraId="14C0DF7B">
      <w:pPr>
        <w:spacing w:after="120" w:line="360" w:lineRule="exact"/>
        <w:jc w:val="right"/>
        <w:rPr>
          <w:szCs w:val="21"/>
        </w:rPr>
      </w:pPr>
    </w:p>
    <w:p w14:paraId="06CE6724">
      <w:pPr>
        <w:keepNext/>
        <w:keepLines/>
        <w:adjustRightInd w:val="0"/>
        <w:snapToGrid w:val="0"/>
        <w:spacing w:before="280" w:after="290"/>
        <w:outlineLvl w:val="3"/>
        <w:rPr>
          <w:rFonts w:ascii="Times New Roman" w:hAnsi="Times New Roman"/>
          <w:b/>
          <w:bCs/>
          <w:sz w:val="28"/>
          <w:szCs w:val="28"/>
        </w:rPr>
      </w:pPr>
      <w:r>
        <w:rPr>
          <w:szCs w:val="21"/>
        </w:rPr>
        <w:br w:type="page"/>
      </w:r>
      <w:r>
        <w:rPr>
          <w:rFonts w:hint="eastAsia" w:ascii="Times New Roman" w:hAnsi="Times New Roman"/>
          <w:b/>
          <w:bCs/>
          <w:sz w:val="28"/>
          <w:szCs w:val="28"/>
        </w:rPr>
        <w:t>5.2</w:t>
      </w:r>
      <w:r>
        <w:rPr>
          <w:rFonts w:ascii="Times New Roman" w:hAnsi="Times New Roman"/>
          <w:b/>
          <w:bCs/>
          <w:sz w:val="28"/>
          <w:szCs w:val="28"/>
        </w:rPr>
        <w:t xml:space="preserve"> </w:t>
      </w:r>
      <w:r>
        <w:rPr>
          <w:rFonts w:hint="eastAsia" w:ascii="Times New Roman" w:hAnsi="Times New Roman"/>
          <w:b/>
          <w:bCs/>
          <w:sz w:val="28"/>
          <w:szCs w:val="28"/>
        </w:rPr>
        <w:t>技术方案</w:t>
      </w:r>
    </w:p>
    <w:p w14:paraId="0CA81601">
      <w:pPr>
        <w:spacing w:line="360" w:lineRule="auto"/>
        <w:ind w:firstLine="525" w:firstLineChars="250"/>
        <w:rPr>
          <w:szCs w:val="21"/>
        </w:rPr>
      </w:pPr>
      <w:r>
        <w:rPr>
          <w:rFonts w:hint="eastAsia"/>
          <w:szCs w:val="21"/>
        </w:rPr>
        <w:t>技术方案设计必须科学合理、真实可行，能充分体现出自身技术和专业优势。其要点和主要内容为：</w:t>
      </w:r>
    </w:p>
    <w:p w14:paraId="683F5F98">
      <w:pPr>
        <w:autoSpaceDE w:val="0"/>
        <w:autoSpaceDN w:val="0"/>
        <w:adjustRightInd w:val="0"/>
        <w:spacing w:line="360" w:lineRule="auto"/>
        <w:ind w:firstLine="422" w:firstLineChars="200"/>
        <w:jc w:val="left"/>
        <w:rPr>
          <w:rFonts w:ascii="宋体" w:hAnsi="Times New Roman"/>
          <w:b/>
          <w:kern w:val="0"/>
          <w:szCs w:val="20"/>
        </w:rPr>
      </w:pPr>
      <w:r>
        <w:rPr>
          <w:rFonts w:hint="eastAsia" w:ascii="宋体" w:hAnsi="Times New Roman"/>
          <w:b/>
          <w:kern w:val="0"/>
          <w:szCs w:val="20"/>
        </w:rPr>
        <w:t>1、生产计划与工期保障；</w:t>
      </w:r>
    </w:p>
    <w:p w14:paraId="760C62CE">
      <w:pPr>
        <w:autoSpaceDE w:val="0"/>
        <w:autoSpaceDN w:val="0"/>
        <w:adjustRightInd w:val="0"/>
        <w:spacing w:line="360" w:lineRule="auto"/>
        <w:ind w:firstLine="422" w:firstLineChars="200"/>
        <w:jc w:val="left"/>
        <w:rPr>
          <w:rFonts w:ascii="宋体" w:hAnsi="Times New Roman"/>
          <w:b/>
          <w:kern w:val="0"/>
          <w:szCs w:val="20"/>
        </w:rPr>
      </w:pPr>
      <w:r>
        <w:rPr>
          <w:rFonts w:hint="eastAsia" w:ascii="宋体" w:hAnsi="Times New Roman"/>
          <w:b/>
          <w:kern w:val="0"/>
          <w:szCs w:val="20"/>
        </w:rPr>
        <w:t>2、质量控制体系与措施；</w:t>
      </w:r>
    </w:p>
    <w:p w14:paraId="496E88AC">
      <w:pPr>
        <w:autoSpaceDE w:val="0"/>
        <w:autoSpaceDN w:val="0"/>
        <w:adjustRightInd w:val="0"/>
        <w:spacing w:line="360" w:lineRule="auto"/>
        <w:ind w:firstLine="422" w:firstLineChars="200"/>
        <w:jc w:val="left"/>
        <w:rPr>
          <w:rFonts w:ascii="宋体" w:hAnsi="Times New Roman"/>
          <w:b/>
          <w:kern w:val="0"/>
          <w:szCs w:val="20"/>
        </w:rPr>
      </w:pPr>
      <w:r>
        <w:rPr>
          <w:rFonts w:hint="eastAsia" w:ascii="宋体" w:hAnsi="Times New Roman"/>
          <w:b/>
          <w:kern w:val="0"/>
          <w:szCs w:val="20"/>
        </w:rPr>
        <w:t>3、应急预案与风险控制；</w:t>
      </w:r>
    </w:p>
    <w:p w14:paraId="6C197B2E">
      <w:pPr>
        <w:autoSpaceDE w:val="0"/>
        <w:autoSpaceDN w:val="0"/>
        <w:adjustRightInd w:val="0"/>
        <w:spacing w:line="360" w:lineRule="auto"/>
        <w:ind w:firstLine="422" w:firstLineChars="200"/>
        <w:jc w:val="left"/>
        <w:rPr>
          <w:rFonts w:ascii="宋体" w:hAnsi="Times New Roman"/>
          <w:b/>
          <w:kern w:val="0"/>
          <w:szCs w:val="20"/>
        </w:rPr>
      </w:pPr>
      <w:r>
        <w:rPr>
          <w:rFonts w:hint="eastAsia" w:ascii="宋体" w:hAnsi="Times New Roman"/>
          <w:b/>
          <w:kern w:val="0"/>
          <w:szCs w:val="20"/>
        </w:rPr>
        <w:t>4、售后服务；</w:t>
      </w:r>
    </w:p>
    <w:p w14:paraId="273143EC">
      <w:pPr>
        <w:autoSpaceDE w:val="0"/>
        <w:autoSpaceDN w:val="0"/>
        <w:adjustRightInd w:val="0"/>
        <w:spacing w:line="360" w:lineRule="auto"/>
        <w:ind w:firstLine="422" w:firstLineChars="200"/>
        <w:jc w:val="left"/>
        <w:rPr>
          <w:rFonts w:hint="eastAsia" w:ascii="宋体" w:hAnsi="宋体"/>
          <w:szCs w:val="21"/>
        </w:rPr>
      </w:pPr>
      <w:r>
        <w:rPr>
          <w:rFonts w:hint="eastAsia" w:ascii="宋体" w:hAnsi="Times New Roman"/>
          <w:b/>
          <w:kern w:val="0"/>
          <w:szCs w:val="20"/>
        </w:rPr>
        <w:t>5、投标人认为必要说明的其他内容。</w:t>
      </w:r>
    </w:p>
    <w:p w14:paraId="6374BA24">
      <w:pPr>
        <w:adjustRightInd w:val="0"/>
        <w:snapToGrid w:val="0"/>
        <w:spacing w:line="360" w:lineRule="auto"/>
        <w:rPr>
          <w:szCs w:val="21"/>
        </w:rPr>
      </w:pPr>
    </w:p>
    <w:p w14:paraId="206C9E9A">
      <w:pPr>
        <w:adjustRightInd w:val="0"/>
        <w:snapToGrid w:val="0"/>
        <w:spacing w:line="360" w:lineRule="auto"/>
        <w:rPr>
          <w:szCs w:val="21"/>
        </w:rPr>
      </w:pPr>
    </w:p>
    <w:p w14:paraId="3B33BF43">
      <w:pPr>
        <w:adjustRightInd w:val="0"/>
        <w:snapToGrid w:val="0"/>
        <w:spacing w:line="300" w:lineRule="auto"/>
        <w:jc w:val="left"/>
        <w:rPr>
          <w:szCs w:val="21"/>
          <w:u w:val="single"/>
        </w:rPr>
      </w:pPr>
      <w:r>
        <w:rPr>
          <w:rFonts w:hint="eastAsia"/>
          <w:szCs w:val="21"/>
        </w:rPr>
        <w:t>投标人名称：</w:t>
      </w:r>
      <w:r>
        <w:rPr>
          <w:szCs w:val="21"/>
          <w:u w:val="single"/>
        </w:rPr>
        <w:t>____________________</w:t>
      </w:r>
    </w:p>
    <w:p w14:paraId="60FD7B41">
      <w:pPr>
        <w:spacing w:after="120" w:line="360" w:lineRule="exact"/>
        <w:jc w:val="left"/>
        <w:rPr>
          <w:szCs w:val="21"/>
        </w:rPr>
      </w:pPr>
      <w:r>
        <w:rPr>
          <w:rFonts w:hint="eastAsia"/>
          <w:szCs w:val="21"/>
        </w:rPr>
        <w:t>日期：   年   月   日</w:t>
      </w:r>
    </w:p>
    <w:bookmarkEnd w:id="41"/>
    <w:p w14:paraId="3E35E158">
      <w:pPr>
        <w:adjustRightInd w:val="0"/>
        <w:snapToGrid w:val="0"/>
        <w:spacing w:line="360" w:lineRule="auto"/>
        <w:rPr>
          <w:szCs w:val="21"/>
        </w:rPr>
      </w:pPr>
    </w:p>
    <w:p w14:paraId="4554F404">
      <w:pPr>
        <w:keepNext/>
        <w:keepLines/>
        <w:widowControl/>
        <w:spacing w:after="156" w:afterLines="50" w:line="413" w:lineRule="auto"/>
        <w:outlineLvl w:val="1"/>
        <w:rPr>
          <w:rFonts w:ascii="Times New Roman" w:hAnsi="Times New Roman"/>
          <w:b/>
          <w:bCs/>
          <w:kern w:val="0"/>
          <w:sz w:val="32"/>
          <w:szCs w:val="32"/>
        </w:rPr>
      </w:pPr>
      <w:r>
        <w:rPr>
          <w:rFonts w:ascii="Arial" w:hAnsi="Arial" w:eastAsia="黑体"/>
          <w:b/>
          <w:bCs/>
          <w:kern w:val="0"/>
          <w:sz w:val="24"/>
          <w:szCs w:val="24"/>
        </w:rPr>
        <w:br w:type="page"/>
      </w:r>
      <w:bookmarkStart w:id="43" w:name="_Hlk52290966"/>
      <w:bookmarkStart w:id="44" w:name="_Hlk76483942"/>
      <w:r>
        <w:rPr>
          <w:rFonts w:hint="eastAsia" w:ascii="Times New Roman" w:hAnsi="Times New Roman"/>
          <w:b/>
          <w:bCs/>
          <w:kern w:val="0"/>
          <w:sz w:val="32"/>
          <w:szCs w:val="32"/>
        </w:rPr>
        <w:t>六、其它部分</w:t>
      </w:r>
    </w:p>
    <w:bookmarkEnd w:id="43"/>
    <w:p w14:paraId="79A84DEE">
      <w:pPr>
        <w:keepNext/>
        <w:keepLines/>
        <w:adjustRightInd w:val="0"/>
        <w:snapToGrid w:val="0"/>
        <w:spacing w:before="280" w:after="290"/>
        <w:outlineLvl w:val="3"/>
        <w:rPr>
          <w:rFonts w:ascii="Times New Roman" w:hAnsi="Times New Roman"/>
          <w:b/>
          <w:bCs/>
          <w:sz w:val="28"/>
          <w:szCs w:val="28"/>
        </w:rPr>
      </w:pPr>
      <w:r>
        <w:rPr>
          <w:rFonts w:ascii="Times New Roman" w:hAnsi="Times New Roman"/>
          <w:b/>
          <w:bCs/>
          <w:sz w:val="28"/>
          <w:szCs w:val="28"/>
        </w:rPr>
        <w:t>6.1</w:t>
      </w:r>
      <w:r>
        <w:rPr>
          <w:rFonts w:hint="eastAsia" w:ascii="Times New Roman" w:hAnsi="Times New Roman"/>
          <w:b/>
          <w:bCs/>
          <w:sz w:val="28"/>
          <w:szCs w:val="28"/>
        </w:rPr>
        <w:t xml:space="preserve"> </w:t>
      </w:r>
      <w:bookmarkStart w:id="45" w:name="_Hlk193709691"/>
      <w:r>
        <w:rPr>
          <w:rFonts w:hint="eastAsia" w:ascii="Times New Roman" w:hAnsi="Times New Roman"/>
          <w:b/>
          <w:bCs/>
          <w:sz w:val="28"/>
          <w:szCs w:val="28"/>
        </w:rPr>
        <w:t>关于提供增值税专用发票的承诺书格式</w:t>
      </w:r>
      <w:bookmarkEnd w:id="45"/>
    </w:p>
    <w:p w14:paraId="4C320D2B">
      <w:pPr>
        <w:spacing w:line="360" w:lineRule="auto"/>
        <w:jc w:val="center"/>
        <w:rPr>
          <w:rFonts w:ascii="宋体"/>
          <w:b/>
          <w:kern w:val="0"/>
          <w:sz w:val="32"/>
          <w:szCs w:val="32"/>
        </w:rPr>
      </w:pPr>
      <w:bookmarkStart w:id="46" w:name="_Hlk191463017"/>
      <w:r>
        <w:rPr>
          <w:rFonts w:hint="eastAsia" w:ascii="宋体"/>
          <w:b/>
          <w:kern w:val="0"/>
          <w:sz w:val="32"/>
          <w:szCs w:val="32"/>
        </w:rPr>
        <w:t>关于提供增值税专用发票的承诺书</w:t>
      </w:r>
      <w:bookmarkEnd w:id="46"/>
    </w:p>
    <w:p w14:paraId="58027084">
      <w:pPr>
        <w:tabs>
          <w:tab w:val="left" w:pos="3960"/>
        </w:tabs>
        <w:snapToGrid w:val="0"/>
        <w:spacing w:line="360" w:lineRule="auto"/>
        <w:rPr>
          <w:rFonts w:hint="eastAsia" w:ascii="宋体" w:hAnsi="宋体"/>
          <w:szCs w:val="24"/>
        </w:rPr>
      </w:pPr>
    </w:p>
    <w:p w14:paraId="600B0F97">
      <w:pPr>
        <w:snapToGrid w:val="0"/>
        <w:spacing w:line="360" w:lineRule="auto"/>
        <w:rPr>
          <w:rFonts w:hint="eastAsia" w:ascii="宋体" w:hAnsi="宋体"/>
          <w:b/>
          <w:szCs w:val="21"/>
          <w:u w:val="single"/>
        </w:rPr>
      </w:pPr>
      <w:r>
        <w:rPr>
          <w:rFonts w:hint="eastAsia" w:ascii="宋体" w:hAnsi="宋体"/>
          <w:szCs w:val="24"/>
          <w:u w:val="single"/>
        </w:rPr>
        <w:t>广州广重企业集团有限公司：</w:t>
      </w:r>
    </w:p>
    <w:p w14:paraId="43B52F4C">
      <w:pPr>
        <w:snapToGrid w:val="0"/>
        <w:spacing w:line="360" w:lineRule="auto"/>
        <w:ind w:firstLine="420" w:firstLineChars="200"/>
        <w:rPr>
          <w:rFonts w:hint="eastAsia" w:ascii="宋体" w:hAnsi="宋体"/>
          <w:szCs w:val="24"/>
        </w:rPr>
      </w:pPr>
      <w:r>
        <w:rPr>
          <w:rFonts w:hint="eastAsia" w:ascii="宋体" w:hAnsi="宋体"/>
          <w:szCs w:val="24"/>
        </w:rPr>
        <w:t>本投标人已详细阅读了</w:t>
      </w:r>
      <w:r>
        <w:rPr>
          <w:rFonts w:hint="eastAsia" w:ascii="宋体" w:hAnsi="宋体"/>
          <w:szCs w:val="24"/>
          <w:u w:val="single"/>
        </w:rPr>
        <w:t>广州工控大湾区现代高端装备研发生产基地项目（三期）办公家具采购项目</w:t>
      </w:r>
      <w:r>
        <w:rPr>
          <w:rFonts w:hint="eastAsia" w:ascii="宋体" w:hAnsi="宋体"/>
          <w:szCs w:val="24"/>
        </w:rPr>
        <w:t>招标文件，自愿参加上述项目投标</w:t>
      </w:r>
      <w:r>
        <w:rPr>
          <w:rFonts w:ascii="宋体" w:hAnsi="宋体"/>
          <w:szCs w:val="24"/>
        </w:rPr>
        <w:t>/</w:t>
      </w:r>
      <w:r>
        <w:rPr>
          <w:rFonts w:hint="eastAsia" w:ascii="宋体" w:hAnsi="宋体"/>
          <w:szCs w:val="24"/>
        </w:rPr>
        <w:t>报价，现就有关事项向招标人郑重承诺如下：</w:t>
      </w:r>
    </w:p>
    <w:p w14:paraId="065A7A00">
      <w:pPr>
        <w:snapToGrid w:val="0"/>
        <w:spacing w:line="360" w:lineRule="auto"/>
        <w:ind w:firstLine="420" w:firstLineChars="200"/>
        <w:rPr>
          <w:rFonts w:hint="eastAsia" w:ascii="宋体" w:hAnsi="宋体"/>
          <w:szCs w:val="24"/>
        </w:rPr>
      </w:pPr>
      <w:r>
        <w:rPr>
          <w:rFonts w:hint="eastAsia" w:ascii="宋体" w:hAnsi="宋体"/>
          <w:szCs w:val="24"/>
        </w:rPr>
        <w:t>我方纳税人主体资格是</w:t>
      </w:r>
      <w:r>
        <w:rPr>
          <w:rFonts w:hint="eastAsia" w:ascii="宋体" w:hAnsi="宋体"/>
          <w:szCs w:val="24"/>
          <w:u w:val="single"/>
        </w:rPr>
        <w:t xml:space="preserve"> </w:t>
      </w:r>
      <w:r>
        <w:rPr>
          <w:rFonts w:hint="eastAsia" w:ascii="宋体" w:hAnsi="宋体"/>
          <w:szCs w:val="24"/>
          <w:u w:val="single"/>
        </w:rPr>
        <w:sym w:font="Wingdings 2" w:char="F0A3"/>
      </w:r>
      <w:r>
        <w:rPr>
          <w:rFonts w:hint="eastAsia" w:ascii="宋体" w:hAnsi="宋体"/>
          <w:szCs w:val="24"/>
          <w:u w:val="single"/>
        </w:rPr>
        <w:t>一般纳税人</w:t>
      </w:r>
      <w:r>
        <w:rPr>
          <w:rFonts w:ascii="宋体" w:hAnsi="宋体"/>
          <w:szCs w:val="24"/>
          <w:u w:val="single"/>
        </w:rPr>
        <w:t>/</w:t>
      </w:r>
      <w:r>
        <w:rPr>
          <w:rFonts w:hint="eastAsia" w:ascii="宋体" w:hAnsi="宋体"/>
          <w:szCs w:val="24"/>
          <w:u w:val="single"/>
        </w:rPr>
        <w:sym w:font="Wingdings 2" w:char="F0A3"/>
      </w:r>
      <w:r>
        <w:rPr>
          <w:rFonts w:ascii="宋体" w:hAnsi="宋体"/>
          <w:szCs w:val="24"/>
          <w:u w:val="single"/>
        </w:rPr>
        <w:t>小规模纳税人</w:t>
      </w:r>
      <w:r>
        <w:rPr>
          <w:rFonts w:hint="eastAsia" w:ascii="宋体" w:hAnsi="宋体"/>
          <w:szCs w:val="24"/>
          <w:u w:val="single"/>
        </w:rPr>
        <w:t xml:space="preserve"> </w:t>
      </w:r>
      <w:r>
        <w:rPr>
          <w:rFonts w:hint="eastAsia" w:ascii="宋体" w:hAnsi="宋体"/>
          <w:szCs w:val="24"/>
        </w:rPr>
        <w:t>（在“</w:t>
      </w:r>
      <w:r>
        <w:rPr>
          <w:rFonts w:hint="eastAsia" w:ascii="宋体" w:hAnsi="宋体"/>
          <w:szCs w:val="24"/>
        </w:rPr>
        <w:sym w:font="Wingdings 2" w:char="F0A3"/>
      </w:r>
      <w:r>
        <w:rPr>
          <w:rFonts w:hint="eastAsia" w:ascii="宋体" w:hAnsi="宋体"/>
          <w:szCs w:val="24"/>
        </w:rPr>
        <w:t>”打“√”</w:t>
      </w:r>
      <w:r>
        <w:rPr>
          <w:rFonts w:ascii="宋体" w:hAnsi="宋体"/>
          <w:szCs w:val="24"/>
        </w:rPr>
        <w:t>明确其中之一）</w:t>
      </w:r>
      <w:r>
        <w:rPr>
          <w:rFonts w:hint="eastAsia" w:ascii="宋体" w:hAnsi="宋体"/>
          <w:szCs w:val="24"/>
        </w:rPr>
        <w:t>。本次报价内容属于我公司营业执照经营范围的业务，本次报价包含税率为</w:t>
      </w:r>
      <w:r>
        <w:rPr>
          <w:rFonts w:ascii="宋体" w:hAnsi="宋体"/>
          <w:szCs w:val="24"/>
          <w:u w:val="single"/>
        </w:rPr>
        <w:t xml:space="preserve">     </w:t>
      </w:r>
      <w:r>
        <w:rPr>
          <w:rFonts w:ascii="宋体" w:hAnsi="宋体"/>
          <w:b/>
          <w:szCs w:val="24"/>
        </w:rPr>
        <w:t>%</w:t>
      </w:r>
      <w:r>
        <w:rPr>
          <w:rFonts w:hint="eastAsia" w:ascii="宋体" w:hAnsi="宋体"/>
          <w:szCs w:val="24"/>
        </w:rPr>
        <w:t>的增值税。</w:t>
      </w:r>
      <w:r>
        <w:rPr>
          <w:rFonts w:ascii="宋体" w:hAnsi="宋体"/>
          <w:szCs w:val="24"/>
        </w:rPr>
        <w:t>招标人</w:t>
      </w:r>
      <w:r>
        <w:rPr>
          <w:rFonts w:hint="eastAsia" w:ascii="宋体" w:hAnsi="宋体"/>
          <w:szCs w:val="24"/>
        </w:rPr>
        <w:t>支付项目款项时，我方保证开具与付款金额对等的符合国家法律法规和标准的税率为</w:t>
      </w:r>
      <w:r>
        <w:rPr>
          <w:rFonts w:ascii="宋体" w:hAnsi="宋体"/>
          <w:szCs w:val="24"/>
          <w:u w:val="single"/>
        </w:rPr>
        <w:t xml:space="preserve">     </w:t>
      </w:r>
      <w:r>
        <w:rPr>
          <w:rFonts w:ascii="宋体" w:hAnsi="宋体"/>
          <w:b/>
          <w:szCs w:val="24"/>
        </w:rPr>
        <w:t>%</w:t>
      </w:r>
      <w:r>
        <w:rPr>
          <w:rFonts w:hint="eastAsia" w:ascii="宋体" w:hAnsi="宋体"/>
          <w:szCs w:val="24"/>
        </w:rPr>
        <w:t>的增值税专用发票，若我方开具的增值税专用发票的税率低于承诺的增值税税率，则我方在结算时相应扣减该部分税款差额。我方保证开具的增值税专用发票在送达买方时距开票日期不超过</w:t>
      </w:r>
      <w:r>
        <w:rPr>
          <w:rFonts w:ascii="宋体" w:hAnsi="宋体"/>
          <w:szCs w:val="24"/>
        </w:rPr>
        <w:t>45天。若因我方开具的增值税专用发票不规范、</w:t>
      </w:r>
      <w:r>
        <w:rPr>
          <w:rFonts w:hint="eastAsia" w:ascii="宋体" w:hAnsi="宋体"/>
          <w:szCs w:val="24"/>
        </w:rPr>
        <w:t>不合法或涉嫌</w:t>
      </w:r>
      <w:r>
        <w:rPr>
          <w:rFonts w:ascii="宋体" w:hAnsi="宋体"/>
          <w:szCs w:val="24"/>
        </w:rPr>
        <w:t>虚开</w:t>
      </w:r>
      <w:r>
        <w:rPr>
          <w:rFonts w:hint="eastAsia" w:ascii="宋体" w:hAnsi="宋体"/>
          <w:szCs w:val="24"/>
        </w:rPr>
        <w:t>等问题造成</w:t>
      </w:r>
      <w:r>
        <w:rPr>
          <w:rFonts w:ascii="宋体" w:hAnsi="宋体"/>
          <w:szCs w:val="24"/>
        </w:rPr>
        <w:t>招标人无法抵扣或出现</w:t>
      </w:r>
      <w:r>
        <w:rPr>
          <w:rFonts w:hint="eastAsia" w:ascii="宋体" w:hAnsi="宋体"/>
          <w:szCs w:val="24"/>
        </w:rPr>
        <w:t>法律</w:t>
      </w:r>
      <w:r>
        <w:rPr>
          <w:rFonts w:ascii="宋体" w:hAnsi="宋体"/>
          <w:szCs w:val="24"/>
        </w:rPr>
        <w:t>风险等由我方</w:t>
      </w:r>
      <w:r>
        <w:rPr>
          <w:rFonts w:hint="eastAsia" w:ascii="宋体" w:hAnsi="宋体"/>
          <w:szCs w:val="24"/>
        </w:rPr>
        <w:t>负赔偿并承担一切风险、</w:t>
      </w:r>
      <w:r>
        <w:rPr>
          <w:rFonts w:ascii="宋体" w:hAnsi="宋体"/>
          <w:szCs w:val="24"/>
        </w:rPr>
        <w:t>责任</w:t>
      </w:r>
      <w:r>
        <w:rPr>
          <w:rFonts w:hint="eastAsia" w:ascii="宋体" w:hAnsi="宋体"/>
          <w:szCs w:val="24"/>
        </w:rPr>
        <w:t>，</w:t>
      </w:r>
      <w:r>
        <w:rPr>
          <w:rFonts w:ascii="宋体" w:hAnsi="宋体"/>
          <w:szCs w:val="24"/>
        </w:rPr>
        <w:t>而且不能免除我方开具合法发票的义务</w:t>
      </w:r>
      <w:r>
        <w:rPr>
          <w:rFonts w:hint="eastAsia" w:ascii="宋体" w:hAnsi="宋体"/>
          <w:szCs w:val="24"/>
        </w:rPr>
        <w:t>。</w:t>
      </w:r>
    </w:p>
    <w:p w14:paraId="449F784A">
      <w:pPr>
        <w:widowControl/>
        <w:adjustRightInd w:val="0"/>
        <w:snapToGrid w:val="0"/>
        <w:spacing w:line="360" w:lineRule="auto"/>
        <w:jc w:val="left"/>
        <w:rPr>
          <w:rFonts w:hint="eastAsia" w:ascii="宋体" w:hAnsi="宋体"/>
          <w:kern w:val="0"/>
          <w:szCs w:val="21"/>
        </w:rPr>
      </w:pPr>
    </w:p>
    <w:p w14:paraId="1CC5494D">
      <w:pPr>
        <w:widowControl/>
        <w:jc w:val="left"/>
        <w:rPr>
          <w:rFonts w:ascii="Times New Roman" w:hAnsi="Times New Roman"/>
          <w:kern w:val="0"/>
          <w:szCs w:val="20"/>
        </w:rPr>
      </w:pPr>
    </w:p>
    <w:p w14:paraId="24C46FFB">
      <w:pPr>
        <w:widowControl/>
        <w:adjustRightInd w:val="0"/>
        <w:snapToGrid w:val="0"/>
        <w:spacing w:line="360" w:lineRule="auto"/>
        <w:jc w:val="left"/>
        <w:rPr>
          <w:rFonts w:hint="eastAsia" w:ascii="宋体" w:hAnsi="宋体"/>
          <w:kern w:val="0"/>
          <w:szCs w:val="21"/>
          <w:u w:val="single"/>
        </w:rPr>
      </w:pPr>
      <w:r>
        <w:rPr>
          <w:rFonts w:hint="eastAsia" w:ascii="宋体" w:hAnsi="宋体"/>
          <w:kern w:val="0"/>
          <w:szCs w:val="21"/>
        </w:rPr>
        <w:t>投标人名称：</w:t>
      </w:r>
      <w:r>
        <w:rPr>
          <w:rFonts w:hint="eastAsia" w:ascii="宋体" w:hAnsi="宋体"/>
          <w:kern w:val="0"/>
          <w:szCs w:val="21"/>
          <w:u w:val="single"/>
        </w:rPr>
        <w:t xml:space="preserve">                        </w:t>
      </w:r>
    </w:p>
    <w:p w14:paraId="3E41888C">
      <w:pPr>
        <w:snapToGrid w:val="0"/>
        <w:spacing w:line="360" w:lineRule="auto"/>
        <w:rPr>
          <w:szCs w:val="24"/>
        </w:rPr>
      </w:pPr>
      <w:r>
        <w:rPr>
          <w:rFonts w:hint="eastAsia" w:ascii="宋体" w:hAnsi="宋体"/>
          <w:szCs w:val="21"/>
        </w:rPr>
        <w:t>日期：   年   月   日</w:t>
      </w:r>
    </w:p>
    <w:p w14:paraId="7322F2CF">
      <w:pPr>
        <w:keepNext/>
        <w:keepLines/>
        <w:adjustRightInd w:val="0"/>
        <w:snapToGrid w:val="0"/>
        <w:spacing w:before="280" w:after="290"/>
        <w:outlineLvl w:val="3"/>
        <w:rPr>
          <w:rFonts w:ascii="Times New Roman" w:hAnsi="Times New Roman"/>
          <w:b/>
          <w:bCs/>
          <w:sz w:val="28"/>
          <w:szCs w:val="28"/>
        </w:rPr>
      </w:pPr>
      <w:r>
        <w:rPr>
          <w:rFonts w:ascii="Times New Roman" w:hAnsi="Times New Roman"/>
          <w:sz w:val="28"/>
          <w:szCs w:val="28"/>
        </w:rPr>
        <w:br w:type="page"/>
      </w:r>
      <w:r>
        <w:rPr>
          <w:rFonts w:ascii="Times New Roman" w:hAnsi="Times New Roman"/>
          <w:b/>
          <w:bCs/>
          <w:sz w:val="28"/>
          <w:szCs w:val="28"/>
        </w:rPr>
        <w:t>6.</w:t>
      </w:r>
      <w:r>
        <w:rPr>
          <w:rFonts w:hint="eastAsia" w:ascii="Times New Roman" w:hAnsi="Times New Roman"/>
          <w:b/>
          <w:bCs/>
          <w:sz w:val="28"/>
          <w:szCs w:val="28"/>
        </w:rPr>
        <w:t>2</w:t>
      </w:r>
      <w:r>
        <w:rPr>
          <w:rFonts w:ascii="Times New Roman" w:hAnsi="Times New Roman"/>
          <w:b/>
          <w:bCs/>
          <w:sz w:val="28"/>
          <w:szCs w:val="28"/>
        </w:rPr>
        <w:t xml:space="preserve"> </w:t>
      </w:r>
      <w:r>
        <w:rPr>
          <w:rFonts w:ascii="Times New Roman" w:hAnsi="Times New Roman"/>
          <w:b/>
          <w:bCs/>
          <w:sz w:val="28"/>
          <w:szCs w:val="28"/>
        </w:rPr>
        <w:fldChar w:fldCharType="begin"/>
      </w:r>
      <w:r>
        <w:rPr>
          <w:rFonts w:ascii="Times New Roman" w:hAnsi="Times New Roman"/>
          <w:b/>
          <w:bCs/>
          <w:sz w:val="28"/>
          <w:szCs w:val="28"/>
        </w:rPr>
        <w:instrText xml:space="preserve"> DOCVARIABLE  </w:instrText>
      </w:r>
      <w:r>
        <w:rPr>
          <w:rFonts w:hint="eastAsia" w:ascii="Times New Roman" w:hAnsi="Times New Roman"/>
          <w:b/>
          <w:bCs/>
          <w:sz w:val="28"/>
          <w:szCs w:val="28"/>
        </w:rPr>
        <w:instrText xml:space="preserve">商务条款响应表开始</w:instrText>
      </w:r>
      <w:r>
        <w:rPr>
          <w:rFonts w:ascii="Times New Roman" w:hAnsi="Times New Roman"/>
          <w:b/>
          <w:bCs/>
          <w:sz w:val="28"/>
          <w:szCs w:val="28"/>
        </w:rPr>
        <w:instrText xml:space="preserve">  \* MERGEFORMAT </w:instrText>
      </w:r>
      <w:r>
        <w:rPr>
          <w:rFonts w:ascii="Times New Roman" w:hAnsi="Times New Roman"/>
          <w:b/>
          <w:bCs/>
          <w:sz w:val="28"/>
          <w:szCs w:val="28"/>
        </w:rPr>
        <w:fldChar w:fldCharType="end"/>
      </w:r>
      <w:r>
        <w:rPr>
          <w:rFonts w:ascii="Times New Roman" w:hAnsi="Times New Roman"/>
          <w:b/>
          <w:bCs/>
          <w:sz w:val="28"/>
          <w:szCs w:val="28"/>
        </w:rPr>
        <w:fldChar w:fldCharType="begin"/>
      </w:r>
      <w:r>
        <w:rPr>
          <w:rFonts w:ascii="Times New Roman" w:hAnsi="Times New Roman"/>
          <w:b/>
          <w:bCs/>
          <w:sz w:val="28"/>
          <w:szCs w:val="28"/>
        </w:rPr>
        <w:instrText xml:space="preserve"> DOCVARIABLE  </w:instrText>
      </w:r>
      <w:r>
        <w:rPr>
          <w:rFonts w:hint="eastAsia" w:ascii="Times New Roman" w:hAnsi="Times New Roman"/>
          <w:b/>
          <w:bCs/>
          <w:sz w:val="28"/>
          <w:szCs w:val="28"/>
        </w:rPr>
        <w:instrText xml:space="preserve">商务条款响应表开始</w:instrText>
      </w:r>
      <w:r>
        <w:rPr>
          <w:rFonts w:ascii="Times New Roman" w:hAnsi="Times New Roman"/>
          <w:b/>
          <w:bCs/>
          <w:sz w:val="28"/>
          <w:szCs w:val="28"/>
        </w:rPr>
        <w:instrText xml:space="preserve">  \* MERGEFORMAT </w:instrText>
      </w:r>
      <w:r>
        <w:rPr>
          <w:rFonts w:ascii="Times New Roman" w:hAnsi="Times New Roman"/>
          <w:b/>
          <w:bCs/>
          <w:sz w:val="28"/>
          <w:szCs w:val="28"/>
        </w:rPr>
        <w:fldChar w:fldCharType="end"/>
      </w:r>
      <w:r>
        <w:rPr>
          <w:rFonts w:hint="eastAsia" w:ascii="Times New Roman" w:hAnsi="Times New Roman"/>
          <w:b/>
          <w:bCs/>
          <w:sz w:val="28"/>
          <w:szCs w:val="28"/>
        </w:rPr>
        <w:fldChar w:fldCharType="begin"/>
      </w:r>
      <w:r>
        <w:rPr>
          <w:rFonts w:hint="eastAsia" w:ascii="Times New Roman" w:hAnsi="Times New Roman"/>
          <w:b/>
          <w:bCs/>
          <w:sz w:val="28"/>
          <w:szCs w:val="28"/>
        </w:rPr>
        <w:instrText xml:space="preserve"> DOCVARIABLE  商务条款响应表开始  \* MERGEFORMAT </w:instrText>
      </w:r>
      <w:r>
        <w:rPr>
          <w:rFonts w:hint="eastAsia" w:ascii="Times New Roman" w:hAnsi="Times New Roman"/>
          <w:b/>
          <w:bCs/>
          <w:sz w:val="28"/>
          <w:szCs w:val="28"/>
        </w:rPr>
        <w:fldChar w:fldCharType="end"/>
      </w:r>
      <w:r>
        <w:rPr>
          <w:rFonts w:hint="eastAsia" w:ascii="Times New Roman" w:hAnsi="Times New Roman"/>
          <w:b/>
          <w:bCs/>
          <w:sz w:val="28"/>
          <w:szCs w:val="28"/>
        </w:rPr>
        <w:fldChar w:fldCharType="begin"/>
      </w:r>
      <w:r>
        <w:rPr>
          <w:rFonts w:hint="eastAsia" w:ascii="Times New Roman" w:hAnsi="Times New Roman"/>
          <w:b/>
          <w:bCs/>
          <w:sz w:val="28"/>
          <w:szCs w:val="28"/>
        </w:rPr>
        <w:instrText xml:space="preserve"> DOCVARIABLE  商务条款响应表开始  \* MERGEFORMAT </w:instrText>
      </w:r>
      <w:r>
        <w:rPr>
          <w:rFonts w:hint="eastAsia" w:ascii="Times New Roman" w:hAnsi="Times New Roman"/>
          <w:b/>
          <w:bCs/>
          <w:sz w:val="28"/>
          <w:szCs w:val="28"/>
        </w:rPr>
        <w:fldChar w:fldCharType="end"/>
      </w:r>
      <w:r>
        <w:rPr>
          <w:rFonts w:hint="eastAsia" w:ascii="Times New Roman" w:hAnsi="Times New Roman"/>
          <w:b/>
          <w:bCs/>
          <w:sz w:val="28"/>
          <w:szCs w:val="28"/>
        </w:rPr>
        <w:fldChar w:fldCharType="begin"/>
      </w:r>
      <w:r>
        <w:rPr>
          <w:rFonts w:hint="eastAsia" w:ascii="Times New Roman" w:hAnsi="Times New Roman"/>
          <w:b/>
          <w:bCs/>
          <w:sz w:val="28"/>
          <w:szCs w:val="28"/>
        </w:rPr>
        <w:instrText xml:space="preserve"> DOCVARIABLE  商务条款响应表开始  \* MERGEFORMAT </w:instrText>
      </w:r>
      <w:r>
        <w:rPr>
          <w:rFonts w:hint="eastAsia" w:ascii="Times New Roman" w:hAnsi="Times New Roman"/>
          <w:b/>
          <w:bCs/>
          <w:sz w:val="28"/>
          <w:szCs w:val="28"/>
        </w:rPr>
        <w:fldChar w:fldCharType="end"/>
      </w:r>
      <w:r>
        <w:rPr>
          <w:rFonts w:hint="eastAsia" w:ascii="Times New Roman" w:hAnsi="Times New Roman"/>
          <w:b/>
          <w:bCs/>
          <w:sz w:val="28"/>
          <w:szCs w:val="28"/>
        </w:rPr>
        <w:fldChar w:fldCharType="begin"/>
      </w:r>
      <w:r>
        <w:rPr>
          <w:rFonts w:hint="eastAsia" w:ascii="Times New Roman" w:hAnsi="Times New Roman"/>
          <w:b/>
          <w:bCs/>
          <w:sz w:val="28"/>
          <w:szCs w:val="28"/>
        </w:rPr>
        <w:instrText xml:space="preserve"> DOCVARIABLE  商务条款响应表开始  \* MERGEFORMAT </w:instrText>
      </w:r>
      <w:r>
        <w:rPr>
          <w:rFonts w:hint="eastAsia" w:ascii="Times New Roman" w:hAnsi="Times New Roman"/>
          <w:b/>
          <w:bCs/>
          <w:sz w:val="28"/>
          <w:szCs w:val="28"/>
        </w:rPr>
        <w:fldChar w:fldCharType="end"/>
      </w:r>
      <w:r>
        <w:rPr>
          <w:rFonts w:hint="eastAsia" w:ascii="Times New Roman" w:hAnsi="Times New Roman"/>
          <w:b/>
          <w:bCs/>
          <w:sz w:val="28"/>
          <w:szCs w:val="28"/>
        </w:rPr>
        <w:t>其它格式（如有）</w:t>
      </w:r>
    </w:p>
    <w:p w14:paraId="6CAF53D4">
      <w:pPr>
        <w:widowControl/>
        <w:adjustRightInd w:val="0"/>
        <w:snapToGrid w:val="0"/>
        <w:spacing w:line="360" w:lineRule="auto"/>
        <w:jc w:val="left"/>
      </w:pPr>
      <w:r>
        <w:rPr>
          <w:rFonts w:hint="eastAsia" w:ascii="宋体" w:hAnsi="宋体"/>
          <w:kern w:val="0"/>
          <w:szCs w:val="21"/>
        </w:rPr>
        <w:t>附件（以下格式文件由投标人根据需要选用）</w:t>
      </w:r>
      <w:bookmarkEnd w:id="44"/>
      <w:r>
        <w:t xml:space="preserve"> </w:t>
      </w:r>
    </w:p>
    <w:sectPr>
      <w:headerReference r:id="rId4" w:type="first"/>
      <w:footerReference r:id="rId5" w:type="default"/>
      <w:headerReference r:id="rId3" w:type="even"/>
      <w:footerReference r:id="rId6" w:type="even"/>
      <w:pgSz w:w="11906" w:h="16838"/>
      <w:pgMar w:top="1418" w:right="1247" w:bottom="1361" w:left="1247" w:header="794" w:footer="79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440B827-D5D3-43BC-8BE3-E5F73FD25809}"/>
  </w:font>
  <w:font w:name="Arial">
    <w:panose1 w:val="020B0604020202020204"/>
    <w:charset w:val="01"/>
    <w:family w:val="swiss"/>
    <w:pitch w:val="default"/>
    <w:sig w:usb0="E0002AFF" w:usb1="C0007843" w:usb2="00000009" w:usb3="00000000" w:csb0="400001FF" w:csb1="FFFF0000"/>
    <w:embedRegular r:id="rId2" w:fontKey="{8A0C3342-9F75-4669-B97C-0650FFC99D30}"/>
  </w:font>
  <w:font w:name="黑体">
    <w:panose1 w:val="02010609060101010101"/>
    <w:charset w:val="86"/>
    <w:family w:val="auto"/>
    <w:pitch w:val="default"/>
    <w:sig w:usb0="800002BF" w:usb1="38CF7CFA" w:usb2="00000016" w:usb3="00000000" w:csb0="00040001" w:csb1="00000000"/>
    <w:embedRegular r:id="rId3" w:fontKey="{10E0E2C4-2993-48AF-BE5C-0EA90470B5E7}"/>
  </w:font>
  <w:font w:name="Courier New">
    <w:panose1 w:val="02070309020205020404"/>
    <w:charset w:val="01"/>
    <w:family w:val="modern"/>
    <w:pitch w:val="default"/>
    <w:sig w:usb0="E0002AFF" w:usb1="C0007843" w:usb2="00000009" w:usb3="00000000" w:csb0="400001FF" w:csb1="FFFF0000"/>
    <w:embedRegular r:id="rId4" w:fontKey="{8AA59F20-89C9-4233-9C11-05F1BCF1DEB7}"/>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embedRegular r:id="rId5" w:fontKey="{4D4991FD-7D64-49E8-8063-BCF86DE3C0EC}"/>
  </w:font>
  <w:font w:name="Times">
    <w:altName w:val="Times New Roman"/>
    <w:panose1 w:val="02020603050405020304"/>
    <w:charset w:val="00"/>
    <w:family w:val="roman"/>
    <w:pitch w:val="default"/>
    <w:sig w:usb0="00000000" w:usb1="00000000" w:usb2="00000000" w:usb3="00000000" w:csb0="000001FF" w:csb1="00000000"/>
  </w:font>
  <w:font w:name="微软雅黑">
    <w:panose1 w:val="020B0503020204020204"/>
    <w:charset w:val="86"/>
    <w:family w:val="swiss"/>
    <w:pitch w:val="default"/>
    <w:sig w:usb0="80000287" w:usb1="280F3C52" w:usb2="00000016" w:usb3="00000000" w:csb0="0004001F" w:csb1="00000000"/>
    <w:embedRegular r:id="rId6" w:fontKey="{703768D6-8AD0-42EE-A890-B16792539B13}"/>
  </w:font>
  <w:font w:name="等线">
    <w:altName w:val="Arial Unicode MS"/>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7" w:fontKey="{4807AAE4-5159-4DF5-96AF-D4750AC018D9}"/>
  </w:font>
  <w:font w:name="华文新魏">
    <w:panose1 w:val="02010800040101010101"/>
    <w:charset w:val="86"/>
    <w:family w:val="auto"/>
    <w:pitch w:val="default"/>
    <w:sig w:usb0="00000001" w:usb1="080F0000" w:usb2="00000000" w:usb3="00000000" w:csb0="00040000" w:csb1="00000000"/>
    <w:embedRegular r:id="rId8" w:fontKey="{1D0014C5-E1CA-4D79-A3B9-E48F5598E1EA}"/>
  </w:font>
  <w:font w:name="Tahoma">
    <w:panose1 w:val="020B0604030504040204"/>
    <w:charset w:val="00"/>
    <w:family w:val="swiss"/>
    <w:pitch w:val="default"/>
    <w:sig w:usb0="E1002EFF" w:usb1="C000605B" w:usb2="00000029" w:usb3="00000000" w:csb0="200101FF" w:csb1="20280000"/>
    <w:embedRegular r:id="rId9" w:fontKey="{C73E1F85-A368-4E20-B94D-4E80057FCB93}"/>
  </w:font>
  <w:font w:name="仿宋_GB2312">
    <w:altName w:val="仿宋"/>
    <w:panose1 w:val="00000000000000000000"/>
    <w:charset w:val="86"/>
    <w:family w:val="auto"/>
    <w:pitch w:val="default"/>
    <w:sig w:usb0="00000000" w:usb1="00000000" w:usb2="00000010" w:usb3="00000000" w:csb0="00040000" w:csb1="00000000"/>
    <w:embedRegular r:id="rId10" w:fontKey="{ADD4B61A-97A1-4181-A8D5-BF9CA956C3C2}"/>
  </w:font>
  <w:font w:name="仿宋">
    <w:panose1 w:val="02010609060101010101"/>
    <w:charset w:val="86"/>
    <w:family w:val="auto"/>
    <w:pitch w:val="default"/>
    <w:sig w:usb0="800002BF" w:usb1="38CF7CFA" w:usb2="00000016" w:usb3="00000000" w:csb0="00040001" w:csb1="00000000"/>
  </w:font>
  <w:font w:name="TimesNewRomanPSMT">
    <w:altName w:val="微软雅黑"/>
    <w:panose1 w:val="00000000000000000000"/>
    <w:charset w:val="00"/>
    <w:family w:val="auto"/>
    <w:pitch w:val="default"/>
    <w:sig w:usb0="00000000" w:usb1="00000000" w:usb2="00000010" w:usb3="00000000" w:csb0="00040001" w:csb1="00000000"/>
    <w:embedRegular r:id="rId11" w:fontKey="{6883178F-29C7-49F2-9C2B-BC6F1C00FE65}"/>
  </w:font>
  <w:font w:name="FZFSK--GBK1-0">
    <w:altName w:val="宋体"/>
    <w:panose1 w:val="00000000000000000000"/>
    <w:charset w:val="86"/>
    <w:family w:val="auto"/>
    <w:pitch w:val="default"/>
    <w:sig w:usb0="00000000" w:usb1="00000000" w:usb2="00000010" w:usb3="00000000" w:csb0="00040001" w:csb1="00000000"/>
    <w:embedRegular r:id="rId12" w:fontKey="{2B586B0F-6736-4C07-8029-8E1FDA13DF6D}"/>
  </w:font>
  <w:font w:name="方正小标宋简体">
    <w:panose1 w:val="02000000000000000000"/>
    <w:charset w:val="86"/>
    <w:family w:val="auto"/>
    <w:pitch w:val="default"/>
    <w:sig w:usb0="00000001" w:usb1="08000000" w:usb2="00000000" w:usb3="00000000" w:csb0="00040000" w:csb1="00000000"/>
    <w:embedRegular r:id="rId13" w:fontKey="{8F69E8E5-F593-44F5-8076-29579EC6F6DD}"/>
  </w:font>
  <w:font w:name="华文楷体">
    <w:panose1 w:val="02010600040101010101"/>
    <w:charset w:val="86"/>
    <w:family w:val="auto"/>
    <w:pitch w:val="default"/>
    <w:sig w:usb0="00000287" w:usb1="080F0000" w:usb2="00000000" w:usb3="00000000" w:csb0="0004009F" w:csb1="DFD70000"/>
    <w:embedRegular r:id="rId14" w:fontKey="{BA4327AE-E2FD-48BA-B280-22284E42301E}"/>
  </w:font>
  <w:font w:name="Wingdings 2">
    <w:panose1 w:val="05020102010507070707"/>
    <w:charset w:val="02"/>
    <w:family w:val="roman"/>
    <w:pitch w:val="default"/>
    <w:sig w:usb0="00000000" w:usb1="00000000" w:usb2="00000000" w:usb3="00000000" w:csb0="80000000" w:csb1="00000000"/>
    <w:embedRegular r:id="rId15" w:fontKey="{A269F490-1639-4996-A7C2-6C05271E7965}"/>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A40A2">
    <w:pPr>
      <w:pStyle w:val="16"/>
      <w:tabs>
        <w:tab w:val="center" w:pos="4706"/>
        <w:tab w:val="right" w:pos="9412"/>
        <w:tab w:val="clear" w:pos="4153"/>
        <w:tab w:val="clear" w:pos="8306"/>
      </w:tabs>
      <w:ind w:right="6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BC858F">
                          <w:pPr>
                            <w:pStyle w:val="16"/>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8BC858F">
                    <w:pPr>
                      <w:pStyle w:val="16"/>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015B8">
    <w:pPr>
      <w:pStyle w:val="16"/>
      <w:tabs>
        <w:tab w:val="center" w:pos="4706"/>
        <w:tab w:val="right" w:pos="9412"/>
        <w:tab w:val="clear" w:pos="4153"/>
        <w:tab w:val="clear" w:pos="8306"/>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1C6D4">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5E81C6D4">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1E3E8">
    <w:pPr>
      <w:pStyle w:val="1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589F8">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AC20BF"/>
    <w:multiLevelType w:val="multilevel"/>
    <w:tmpl w:val="95AC20BF"/>
    <w:lvl w:ilvl="0" w:tentative="0">
      <w:start w:val="1"/>
      <w:numFmt w:val="japaneseCounting"/>
      <w:lvlText w:val="%1、"/>
      <w:lvlJc w:val="left"/>
      <w:pPr>
        <w:tabs>
          <w:tab w:val="left" w:pos="562"/>
        </w:tabs>
        <w:ind w:left="562" w:hanging="420"/>
      </w:pPr>
      <w:rPr>
        <w:rFonts w:ascii="宋体" w:hAnsi="宋体" w:eastAsia="宋体" w:cs="Courier New"/>
        <w:b/>
        <w:lang w:val="en-US"/>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35"/>
    <w:multiLevelType w:val="multilevel"/>
    <w:tmpl w:val="00000035"/>
    <w:lvl w:ilvl="0" w:tentative="0">
      <w:start w:val="1"/>
      <w:numFmt w:val="japaneseCounting"/>
      <w:lvlText w:val="%1、"/>
      <w:lvlJc w:val="left"/>
      <w:pPr>
        <w:tabs>
          <w:tab w:val="left" w:pos="562"/>
        </w:tabs>
        <w:ind w:left="562" w:hanging="420"/>
      </w:pPr>
      <w:rPr>
        <w:rFonts w:ascii="宋体" w:hAnsi="宋体" w:eastAsia="宋体" w:cs="Courier New"/>
        <w:b/>
        <w:lang w:val="en-US"/>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2D36312"/>
    <w:multiLevelType w:val="multilevel"/>
    <w:tmpl w:val="12D36312"/>
    <w:lvl w:ilvl="0" w:tentative="0">
      <w:start w:val="1"/>
      <w:numFmt w:val="chineseCountingThousand"/>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250B5653"/>
    <w:multiLevelType w:val="multilevel"/>
    <w:tmpl w:val="250B565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68C4CAC"/>
    <w:multiLevelType w:val="singleLevel"/>
    <w:tmpl w:val="568C4CAC"/>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hideSpellingErrors/>
  <w:hideGrammatical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iZjY2NmFiMDRmNGRmYTExMjFiZjliZmI2YjgwMjcifQ=="/>
    <w:docVar w:name="KGWebUrl" w:val="http://10.168.30.10:7890/easoa/PositionServlet"/>
  </w:docVars>
  <w:rsids>
    <w:rsidRoot w:val="002C10C2"/>
    <w:rsid w:val="000035A2"/>
    <w:rsid w:val="000069FD"/>
    <w:rsid w:val="000113B4"/>
    <w:rsid w:val="0001177E"/>
    <w:rsid w:val="000127C5"/>
    <w:rsid w:val="00014166"/>
    <w:rsid w:val="000146C7"/>
    <w:rsid w:val="000172E5"/>
    <w:rsid w:val="000206FB"/>
    <w:rsid w:val="00022F81"/>
    <w:rsid w:val="00024882"/>
    <w:rsid w:val="00032821"/>
    <w:rsid w:val="00033769"/>
    <w:rsid w:val="0003659F"/>
    <w:rsid w:val="0003738A"/>
    <w:rsid w:val="00037911"/>
    <w:rsid w:val="00037A75"/>
    <w:rsid w:val="00045E10"/>
    <w:rsid w:val="00047AB5"/>
    <w:rsid w:val="000515FF"/>
    <w:rsid w:val="000558EA"/>
    <w:rsid w:val="00056180"/>
    <w:rsid w:val="00060497"/>
    <w:rsid w:val="00061136"/>
    <w:rsid w:val="00062DD7"/>
    <w:rsid w:val="000631DA"/>
    <w:rsid w:val="0006389B"/>
    <w:rsid w:val="000701AB"/>
    <w:rsid w:val="000722AD"/>
    <w:rsid w:val="00074990"/>
    <w:rsid w:val="0007627F"/>
    <w:rsid w:val="00076F7B"/>
    <w:rsid w:val="0008009A"/>
    <w:rsid w:val="00082E56"/>
    <w:rsid w:val="00084D31"/>
    <w:rsid w:val="00087077"/>
    <w:rsid w:val="00090BE5"/>
    <w:rsid w:val="00092E7A"/>
    <w:rsid w:val="00095AF1"/>
    <w:rsid w:val="000A077A"/>
    <w:rsid w:val="000A6974"/>
    <w:rsid w:val="000A6AE6"/>
    <w:rsid w:val="000A6D08"/>
    <w:rsid w:val="000B0D76"/>
    <w:rsid w:val="000B2AD8"/>
    <w:rsid w:val="000B403B"/>
    <w:rsid w:val="000B6E9D"/>
    <w:rsid w:val="000C1351"/>
    <w:rsid w:val="000C1DE3"/>
    <w:rsid w:val="000C27C6"/>
    <w:rsid w:val="000C5FAC"/>
    <w:rsid w:val="000C6B03"/>
    <w:rsid w:val="000C6BDC"/>
    <w:rsid w:val="000C715F"/>
    <w:rsid w:val="000D0D57"/>
    <w:rsid w:val="000D1A4B"/>
    <w:rsid w:val="000D51D6"/>
    <w:rsid w:val="000E2784"/>
    <w:rsid w:val="000E2AD8"/>
    <w:rsid w:val="000E335D"/>
    <w:rsid w:val="000E6AD9"/>
    <w:rsid w:val="000E729E"/>
    <w:rsid w:val="000F2DCE"/>
    <w:rsid w:val="000F33D4"/>
    <w:rsid w:val="000F4371"/>
    <w:rsid w:val="00101158"/>
    <w:rsid w:val="001062DA"/>
    <w:rsid w:val="001115C7"/>
    <w:rsid w:val="00113F07"/>
    <w:rsid w:val="0011618F"/>
    <w:rsid w:val="00116F60"/>
    <w:rsid w:val="0012768D"/>
    <w:rsid w:val="001334A1"/>
    <w:rsid w:val="00134DB4"/>
    <w:rsid w:val="00147579"/>
    <w:rsid w:val="0014779C"/>
    <w:rsid w:val="00150016"/>
    <w:rsid w:val="00160280"/>
    <w:rsid w:val="00172360"/>
    <w:rsid w:val="001726D6"/>
    <w:rsid w:val="00173A68"/>
    <w:rsid w:val="00175141"/>
    <w:rsid w:val="00176DC8"/>
    <w:rsid w:val="00182240"/>
    <w:rsid w:val="001822D6"/>
    <w:rsid w:val="00184C0D"/>
    <w:rsid w:val="00185A5C"/>
    <w:rsid w:val="00190417"/>
    <w:rsid w:val="00191743"/>
    <w:rsid w:val="00191CAD"/>
    <w:rsid w:val="00193766"/>
    <w:rsid w:val="00195254"/>
    <w:rsid w:val="001965C0"/>
    <w:rsid w:val="00196D47"/>
    <w:rsid w:val="001A36EA"/>
    <w:rsid w:val="001A3C9B"/>
    <w:rsid w:val="001A5ADC"/>
    <w:rsid w:val="001A6A1C"/>
    <w:rsid w:val="001A7346"/>
    <w:rsid w:val="001B1C64"/>
    <w:rsid w:val="001B31E2"/>
    <w:rsid w:val="001B69A9"/>
    <w:rsid w:val="001B7C5D"/>
    <w:rsid w:val="001C2798"/>
    <w:rsid w:val="001C4B54"/>
    <w:rsid w:val="001D74E3"/>
    <w:rsid w:val="001E3F4B"/>
    <w:rsid w:val="001E4DA9"/>
    <w:rsid w:val="001E6777"/>
    <w:rsid w:val="001F2BDC"/>
    <w:rsid w:val="001F43C1"/>
    <w:rsid w:val="002004C2"/>
    <w:rsid w:val="00201BAC"/>
    <w:rsid w:val="00202678"/>
    <w:rsid w:val="002036C5"/>
    <w:rsid w:val="00204DDA"/>
    <w:rsid w:val="00206FA9"/>
    <w:rsid w:val="002123ED"/>
    <w:rsid w:val="00212EC8"/>
    <w:rsid w:val="0021398F"/>
    <w:rsid w:val="00213CF6"/>
    <w:rsid w:val="00220A97"/>
    <w:rsid w:val="00221DCB"/>
    <w:rsid w:val="002228AC"/>
    <w:rsid w:val="00231387"/>
    <w:rsid w:val="0023575B"/>
    <w:rsid w:val="00235C03"/>
    <w:rsid w:val="0024681E"/>
    <w:rsid w:val="00247454"/>
    <w:rsid w:val="002527FA"/>
    <w:rsid w:val="002551FF"/>
    <w:rsid w:val="00255C7E"/>
    <w:rsid w:val="00257D18"/>
    <w:rsid w:val="00262CEC"/>
    <w:rsid w:val="0026309E"/>
    <w:rsid w:val="00270919"/>
    <w:rsid w:val="00275210"/>
    <w:rsid w:val="00275BF1"/>
    <w:rsid w:val="00280224"/>
    <w:rsid w:val="00285663"/>
    <w:rsid w:val="00291350"/>
    <w:rsid w:val="00296129"/>
    <w:rsid w:val="00297E82"/>
    <w:rsid w:val="002A4621"/>
    <w:rsid w:val="002A4666"/>
    <w:rsid w:val="002B1224"/>
    <w:rsid w:val="002B4DDC"/>
    <w:rsid w:val="002C0918"/>
    <w:rsid w:val="002C10C2"/>
    <w:rsid w:val="002C46FF"/>
    <w:rsid w:val="002C4943"/>
    <w:rsid w:val="002C5589"/>
    <w:rsid w:val="002C7350"/>
    <w:rsid w:val="002C75BD"/>
    <w:rsid w:val="002C7644"/>
    <w:rsid w:val="002C7BA6"/>
    <w:rsid w:val="002D137A"/>
    <w:rsid w:val="002D2458"/>
    <w:rsid w:val="002D27E6"/>
    <w:rsid w:val="002D45A1"/>
    <w:rsid w:val="002D6EA3"/>
    <w:rsid w:val="002E05AA"/>
    <w:rsid w:val="002E3146"/>
    <w:rsid w:val="002E5355"/>
    <w:rsid w:val="002E7753"/>
    <w:rsid w:val="002F2FC7"/>
    <w:rsid w:val="002F3119"/>
    <w:rsid w:val="002F38AF"/>
    <w:rsid w:val="002F4EE2"/>
    <w:rsid w:val="002F62CD"/>
    <w:rsid w:val="002F73C9"/>
    <w:rsid w:val="002F796E"/>
    <w:rsid w:val="00300CE0"/>
    <w:rsid w:val="00301CF7"/>
    <w:rsid w:val="00303015"/>
    <w:rsid w:val="00303CF9"/>
    <w:rsid w:val="003043AA"/>
    <w:rsid w:val="00304AEB"/>
    <w:rsid w:val="003077B9"/>
    <w:rsid w:val="00311128"/>
    <w:rsid w:val="003137C8"/>
    <w:rsid w:val="003148BC"/>
    <w:rsid w:val="00314BBA"/>
    <w:rsid w:val="00320E81"/>
    <w:rsid w:val="0032239D"/>
    <w:rsid w:val="00322489"/>
    <w:rsid w:val="0032248B"/>
    <w:rsid w:val="00323C63"/>
    <w:rsid w:val="003248C6"/>
    <w:rsid w:val="00324BBB"/>
    <w:rsid w:val="00327572"/>
    <w:rsid w:val="00330FD3"/>
    <w:rsid w:val="00334BF3"/>
    <w:rsid w:val="00335B34"/>
    <w:rsid w:val="00335C7F"/>
    <w:rsid w:val="00341042"/>
    <w:rsid w:val="0034376A"/>
    <w:rsid w:val="0034531A"/>
    <w:rsid w:val="00346190"/>
    <w:rsid w:val="00351BCC"/>
    <w:rsid w:val="0035479B"/>
    <w:rsid w:val="00354F25"/>
    <w:rsid w:val="00355A51"/>
    <w:rsid w:val="00360BBC"/>
    <w:rsid w:val="003626D8"/>
    <w:rsid w:val="003655BF"/>
    <w:rsid w:val="00373B64"/>
    <w:rsid w:val="00373B82"/>
    <w:rsid w:val="003760AB"/>
    <w:rsid w:val="00376877"/>
    <w:rsid w:val="00377C8F"/>
    <w:rsid w:val="00382E5B"/>
    <w:rsid w:val="00384806"/>
    <w:rsid w:val="00387784"/>
    <w:rsid w:val="0039090D"/>
    <w:rsid w:val="003933D1"/>
    <w:rsid w:val="003941A9"/>
    <w:rsid w:val="003A2282"/>
    <w:rsid w:val="003A323D"/>
    <w:rsid w:val="003A5FF1"/>
    <w:rsid w:val="003A7CC2"/>
    <w:rsid w:val="003B045B"/>
    <w:rsid w:val="003B5CDA"/>
    <w:rsid w:val="003B60EA"/>
    <w:rsid w:val="003C0B80"/>
    <w:rsid w:val="003C3035"/>
    <w:rsid w:val="003C5D24"/>
    <w:rsid w:val="003C70B3"/>
    <w:rsid w:val="003D2B6F"/>
    <w:rsid w:val="003D3CFF"/>
    <w:rsid w:val="003D7B20"/>
    <w:rsid w:val="003E0823"/>
    <w:rsid w:val="003E0913"/>
    <w:rsid w:val="003E1911"/>
    <w:rsid w:val="003E2603"/>
    <w:rsid w:val="003E348D"/>
    <w:rsid w:val="003E3C68"/>
    <w:rsid w:val="003F039A"/>
    <w:rsid w:val="003F385C"/>
    <w:rsid w:val="003F3CE8"/>
    <w:rsid w:val="003F4A5E"/>
    <w:rsid w:val="003F690C"/>
    <w:rsid w:val="003F7182"/>
    <w:rsid w:val="003F7352"/>
    <w:rsid w:val="003F778F"/>
    <w:rsid w:val="004007B1"/>
    <w:rsid w:val="004009B3"/>
    <w:rsid w:val="00400B1A"/>
    <w:rsid w:val="0040277A"/>
    <w:rsid w:val="00404E16"/>
    <w:rsid w:val="00404FF2"/>
    <w:rsid w:val="00405F2D"/>
    <w:rsid w:val="00406308"/>
    <w:rsid w:val="00406CBD"/>
    <w:rsid w:val="0040789B"/>
    <w:rsid w:val="00410562"/>
    <w:rsid w:val="00411A78"/>
    <w:rsid w:val="00412298"/>
    <w:rsid w:val="00413C4E"/>
    <w:rsid w:val="004154B8"/>
    <w:rsid w:val="00416FD1"/>
    <w:rsid w:val="00421927"/>
    <w:rsid w:val="00422BFF"/>
    <w:rsid w:val="00424A93"/>
    <w:rsid w:val="00424B1F"/>
    <w:rsid w:val="004270EA"/>
    <w:rsid w:val="004331FF"/>
    <w:rsid w:val="00433DCC"/>
    <w:rsid w:val="00436B7D"/>
    <w:rsid w:val="00437A63"/>
    <w:rsid w:val="00437EFA"/>
    <w:rsid w:val="00441B29"/>
    <w:rsid w:val="00443C41"/>
    <w:rsid w:val="004440B1"/>
    <w:rsid w:val="00455754"/>
    <w:rsid w:val="00460F7B"/>
    <w:rsid w:val="00463671"/>
    <w:rsid w:val="00463D1F"/>
    <w:rsid w:val="00466E6C"/>
    <w:rsid w:val="0046702C"/>
    <w:rsid w:val="00470485"/>
    <w:rsid w:val="0047073A"/>
    <w:rsid w:val="00471915"/>
    <w:rsid w:val="00471FD8"/>
    <w:rsid w:val="004721BD"/>
    <w:rsid w:val="00473154"/>
    <w:rsid w:val="00473CEC"/>
    <w:rsid w:val="00480E00"/>
    <w:rsid w:val="00485D65"/>
    <w:rsid w:val="00491BCF"/>
    <w:rsid w:val="00491CF0"/>
    <w:rsid w:val="00493B5B"/>
    <w:rsid w:val="004A04C2"/>
    <w:rsid w:val="004A21A6"/>
    <w:rsid w:val="004A22A1"/>
    <w:rsid w:val="004A2A66"/>
    <w:rsid w:val="004A2D3B"/>
    <w:rsid w:val="004A2E51"/>
    <w:rsid w:val="004A390D"/>
    <w:rsid w:val="004A3B30"/>
    <w:rsid w:val="004A4A8E"/>
    <w:rsid w:val="004B2380"/>
    <w:rsid w:val="004B4BAB"/>
    <w:rsid w:val="004B6DFC"/>
    <w:rsid w:val="004B7ED9"/>
    <w:rsid w:val="004C0B3B"/>
    <w:rsid w:val="004C19C5"/>
    <w:rsid w:val="004C2291"/>
    <w:rsid w:val="004C36CF"/>
    <w:rsid w:val="004C63AE"/>
    <w:rsid w:val="004C6813"/>
    <w:rsid w:val="004C7A7C"/>
    <w:rsid w:val="004D1876"/>
    <w:rsid w:val="004D1E97"/>
    <w:rsid w:val="004D509B"/>
    <w:rsid w:val="004D5735"/>
    <w:rsid w:val="004D601E"/>
    <w:rsid w:val="004D642C"/>
    <w:rsid w:val="004D6804"/>
    <w:rsid w:val="004D7774"/>
    <w:rsid w:val="004D7E1D"/>
    <w:rsid w:val="004E2E45"/>
    <w:rsid w:val="004E74E3"/>
    <w:rsid w:val="004E7AC6"/>
    <w:rsid w:val="004F039A"/>
    <w:rsid w:val="004F0E9E"/>
    <w:rsid w:val="004F6178"/>
    <w:rsid w:val="00500111"/>
    <w:rsid w:val="00501188"/>
    <w:rsid w:val="005031BD"/>
    <w:rsid w:val="00511E54"/>
    <w:rsid w:val="00512265"/>
    <w:rsid w:val="005134F4"/>
    <w:rsid w:val="005141B4"/>
    <w:rsid w:val="005143FC"/>
    <w:rsid w:val="00517ED2"/>
    <w:rsid w:val="0052125F"/>
    <w:rsid w:val="00522074"/>
    <w:rsid w:val="00522F9D"/>
    <w:rsid w:val="0052570B"/>
    <w:rsid w:val="005275D5"/>
    <w:rsid w:val="0052761F"/>
    <w:rsid w:val="005311B3"/>
    <w:rsid w:val="00532818"/>
    <w:rsid w:val="005339F8"/>
    <w:rsid w:val="00536880"/>
    <w:rsid w:val="00543BA2"/>
    <w:rsid w:val="00545C50"/>
    <w:rsid w:val="00545E60"/>
    <w:rsid w:val="0055352C"/>
    <w:rsid w:val="00553DD2"/>
    <w:rsid w:val="005612B9"/>
    <w:rsid w:val="00562445"/>
    <w:rsid w:val="005723AC"/>
    <w:rsid w:val="00572F23"/>
    <w:rsid w:val="0058233C"/>
    <w:rsid w:val="00583F61"/>
    <w:rsid w:val="005919B1"/>
    <w:rsid w:val="0059347A"/>
    <w:rsid w:val="005963E8"/>
    <w:rsid w:val="005A08BD"/>
    <w:rsid w:val="005A2DF2"/>
    <w:rsid w:val="005A3534"/>
    <w:rsid w:val="005A6E63"/>
    <w:rsid w:val="005B314B"/>
    <w:rsid w:val="005C1523"/>
    <w:rsid w:val="005D031C"/>
    <w:rsid w:val="005D4955"/>
    <w:rsid w:val="005D7202"/>
    <w:rsid w:val="005E1381"/>
    <w:rsid w:val="005E1AE1"/>
    <w:rsid w:val="005E2086"/>
    <w:rsid w:val="005E23EB"/>
    <w:rsid w:val="005E5FE0"/>
    <w:rsid w:val="005E6BAA"/>
    <w:rsid w:val="005F158F"/>
    <w:rsid w:val="005F196F"/>
    <w:rsid w:val="005F2A46"/>
    <w:rsid w:val="005F395F"/>
    <w:rsid w:val="005F397C"/>
    <w:rsid w:val="005F6519"/>
    <w:rsid w:val="0060319F"/>
    <w:rsid w:val="00604AC3"/>
    <w:rsid w:val="00610B61"/>
    <w:rsid w:val="00614C1D"/>
    <w:rsid w:val="00617D12"/>
    <w:rsid w:val="00620A38"/>
    <w:rsid w:val="006210CF"/>
    <w:rsid w:val="00621638"/>
    <w:rsid w:val="00623CEF"/>
    <w:rsid w:val="006339C0"/>
    <w:rsid w:val="00636EE5"/>
    <w:rsid w:val="00637438"/>
    <w:rsid w:val="00637724"/>
    <w:rsid w:val="006401A8"/>
    <w:rsid w:val="00640E8E"/>
    <w:rsid w:val="00641927"/>
    <w:rsid w:val="0064197C"/>
    <w:rsid w:val="006422AB"/>
    <w:rsid w:val="006429A9"/>
    <w:rsid w:val="00642E2E"/>
    <w:rsid w:val="00647278"/>
    <w:rsid w:val="006517C5"/>
    <w:rsid w:val="00652CC9"/>
    <w:rsid w:val="0065419C"/>
    <w:rsid w:val="00654BB3"/>
    <w:rsid w:val="0065693B"/>
    <w:rsid w:val="00657723"/>
    <w:rsid w:val="006666CB"/>
    <w:rsid w:val="00670BD7"/>
    <w:rsid w:val="00673BAA"/>
    <w:rsid w:val="00680321"/>
    <w:rsid w:val="00682201"/>
    <w:rsid w:val="0068232A"/>
    <w:rsid w:val="00684752"/>
    <w:rsid w:val="00684C15"/>
    <w:rsid w:val="00690F21"/>
    <w:rsid w:val="0069107E"/>
    <w:rsid w:val="0069125F"/>
    <w:rsid w:val="00691E5E"/>
    <w:rsid w:val="006927AA"/>
    <w:rsid w:val="00695638"/>
    <w:rsid w:val="00695793"/>
    <w:rsid w:val="006A56F7"/>
    <w:rsid w:val="006A7715"/>
    <w:rsid w:val="006A7A14"/>
    <w:rsid w:val="006B0B41"/>
    <w:rsid w:val="006B25DE"/>
    <w:rsid w:val="006B63C8"/>
    <w:rsid w:val="006C1CCE"/>
    <w:rsid w:val="006D1400"/>
    <w:rsid w:val="006D353C"/>
    <w:rsid w:val="006D39A8"/>
    <w:rsid w:val="006D68C2"/>
    <w:rsid w:val="006D7014"/>
    <w:rsid w:val="006E0C6E"/>
    <w:rsid w:val="006E3FF3"/>
    <w:rsid w:val="006E490F"/>
    <w:rsid w:val="006E4A84"/>
    <w:rsid w:val="006F1DC9"/>
    <w:rsid w:val="006F2A27"/>
    <w:rsid w:val="006F3391"/>
    <w:rsid w:val="006F5620"/>
    <w:rsid w:val="006F7C8F"/>
    <w:rsid w:val="0071132A"/>
    <w:rsid w:val="00711C60"/>
    <w:rsid w:val="00716740"/>
    <w:rsid w:val="00724026"/>
    <w:rsid w:val="007254EC"/>
    <w:rsid w:val="00731BED"/>
    <w:rsid w:val="0073696B"/>
    <w:rsid w:val="00740A98"/>
    <w:rsid w:val="00743331"/>
    <w:rsid w:val="00745F53"/>
    <w:rsid w:val="00747E1F"/>
    <w:rsid w:val="007503B3"/>
    <w:rsid w:val="007520EB"/>
    <w:rsid w:val="00753DD2"/>
    <w:rsid w:val="007542A1"/>
    <w:rsid w:val="0075613E"/>
    <w:rsid w:val="00761255"/>
    <w:rsid w:val="00762D6F"/>
    <w:rsid w:val="0076304A"/>
    <w:rsid w:val="007631C3"/>
    <w:rsid w:val="0076720B"/>
    <w:rsid w:val="0077022A"/>
    <w:rsid w:val="00772AF5"/>
    <w:rsid w:val="007742B7"/>
    <w:rsid w:val="00781161"/>
    <w:rsid w:val="00781A9D"/>
    <w:rsid w:val="0078390F"/>
    <w:rsid w:val="00784A2C"/>
    <w:rsid w:val="00785FA5"/>
    <w:rsid w:val="00796E22"/>
    <w:rsid w:val="007A0501"/>
    <w:rsid w:val="007A24A4"/>
    <w:rsid w:val="007A6082"/>
    <w:rsid w:val="007B0851"/>
    <w:rsid w:val="007B3C80"/>
    <w:rsid w:val="007B5142"/>
    <w:rsid w:val="007C0A4A"/>
    <w:rsid w:val="007C0B95"/>
    <w:rsid w:val="007C5ACA"/>
    <w:rsid w:val="007C5B29"/>
    <w:rsid w:val="007C6D6B"/>
    <w:rsid w:val="007D4084"/>
    <w:rsid w:val="007D4D86"/>
    <w:rsid w:val="007D647E"/>
    <w:rsid w:val="007E0F02"/>
    <w:rsid w:val="007E113F"/>
    <w:rsid w:val="007E52F8"/>
    <w:rsid w:val="007E57A4"/>
    <w:rsid w:val="007E5DC2"/>
    <w:rsid w:val="007E62EF"/>
    <w:rsid w:val="007F0502"/>
    <w:rsid w:val="007F46ED"/>
    <w:rsid w:val="007F6D2F"/>
    <w:rsid w:val="00800B23"/>
    <w:rsid w:val="00801A6B"/>
    <w:rsid w:val="008044F6"/>
    <w:rsid w:val="008046A3"/>
    <w:rsid w:val="00805C81"/>
    <w:rsid w:val="00813EB7"/>
    <w:rsid w:val="008145C3"/>
    <w:rsid w:val="00817288"/>
    <w:rsid w:val="008178FD"/>
    <w:rsid w:val="00820741"/>
    <w:rsid w:val="008229F5"/>
    <w:rsid w:val="00825342"/>
    <w:rsid w:val="008274B3"/>
    <w:rsid w:val="008277FB"/>
    <w:rsid w:val="00830980"/>
    <w:rsid w:val="00834298"/>
    <w:rsid w:val="00834D02"/>
    <w:rsid w:val="00834F39"/>
    <w:rsid w:val="008369E6"/>
    <w:rsid w:val="008432B6"/>
    <w:rsid w:val="00844C43"/>
    <w:rsid w:val="0084679D"/>
    <w:rsid w:val="008468DF"/>
    <w:rsid w:val="00850447"/>
    <w:rsid w:val="00862C87"/>
    <w:rsid w:val="00864EF3"/>
    <w:rsid w:val="00865549"/>
    <w:rsid w:val="00866BB1"/>
    <w:rsid w:val="00867930"/>
    <w:rsid w:val="00870510"/>
    <w:rsid w:val="00870F5C"/>
    <w:rsid w:val="00871DAD"/>
    <w:rsid w:val="00873243"/>
    <w:rsid w:val="00874396"/>
    <w:rsid w:val="00874F5E"/>
    <w:rsid w:val="00876526"/>
    <w:rsid w:val="00882CBA"/>
    <w:rsid w:val="008850B6"/>
    <w:rsid w:val="00885A57"/>
    <w:rsid w:val="00887B31"/>
    <w:rsid w:val="00892821"/>
    <w:rsid w:val="00892F9E"/>
    <w:rsid w:val="008A64BF"/>
    <w:rsid w:val="008B194D"/>
    <w:rsid w:val="008B5772"/>
    <w:rsid w:val="008B62C8"/>
    <w:rsid w:val="008B7694"/>
    <w:rsid w:val="008C01D6"/>
    <w:rsid w:val="008C39CC"/>
    <w:rsid w:val="008C5FE7"/>
    <w:rsid w:val="008C6290"/>
    <w:rsid w:val="008D2D4B"/>
    <w:rsid w:val="008D2E3D"/>
    <w:rsid w:val="008D55E3"/>
    <w:rsid w:val="008E37C5"/>
    <w:rsid w:val="008E402F"/>
    <w:rsid w:val="008E4DF7"/>
    <w:rsid w:val="008E5469"/>
    <w:rsid w:val="008E5BF7"/>
    <w:rsid w:val="008F0686"/>
    <w:rsid w:val="0090088A"/>
    <w:rsid w:val="0090793E"/>
    <w:rsid w:val="00910417"/>
    <w:rsid w:val="00913F2E"/>
    <w:rsid w:val="00915666"/>
    <w:rsid w:val="00925F28"/>
    <w:rsid w:val="0092634C"/>
    <w:rsid w:val="00932F50"/>
    <w:rsid w:val="009336A1"/>
    <w:rsid w:val="00935296"/>
    <w:rsid w:val="00940B6B"/>
    <w:rsid w:val="009416BA"/>
    <w:rsid w:val="009507BE"/>
    <w:rsid w:val="009534DB"/>
    <w:rsid w:val="00955CEF"/>
    <w:rsid w:val="009631EF"/>
    <w:rsid w:val="00970B0D"/>
    <w:rsid w:val="0097180A"/>
    <w:rsid w:val="00974978"/>
    <w:rsid w:val="009753E3"/>
    <w:rsid w:val="0097724E"/>
    <w:rsid w:val="00977AA4"/>
    <w:rsid w:val="0098372F"/>
    <w:rsid w:val="00986258"/>
    <w:rsid w:val="00987E11"/>
    <w:rsid w:val="009926E8"/>
    <w:rsid w:val="00996836"/>
    <w:rsid w:val="00997D9A"/>
    <w:rsid w:val="009A2899"/>
    <w:rsid w:val="009B28E2"/>
    <w:rsid w:val="009B5A9B"/>
    <w:rsid w:val="009B79B8"/>
    <w:rsid w:val="009C2C81"/>
    <w:rsid w:val="009C5D75"/>
    <w:rsid w:val="009D21A6"/>
    <w:rsid w:val="009D2324"/>
    <w:rsid w:val="009D5E94"/>
    <w:rsid w:val="009D6747"/>
    <w:rsid w:val="009E4B1F"/>
    <w:rsid w:val="009E4B73"/>
    <w:rsid w:val="009E6375"/>
    <w:rsid w:val="009F2F29"/>
    <w:rsid w:val="009F7A2F"/>
    <w:rsid w:val="00A009E1"/>
    <w:rsid w:val="00A00D7E"/>
    <w:rsid w:val="00A01EFA"/>
    <w:rsid w:val="00A035CA"/>
    <w:rsid w:val="00A06007"/>
    <w:rsid w:val="00A0651B"/>
    <w:rsid w:val="00A12757"/>
    <w:rsid w:val="00A159EF"/>
    <w:rsid w:val="00A17958"/>
    <w:rsid w:val="00A207B5"/>
    <w:rsid w:val="00A208DC"/>
    <w:rsid w:val="00A20909"/>
    <w:rsid w:val="00A20A61"/>
    <w:rsid w:val="00A23C9C"/>
    <w:rsid w:val="00A251B5"/>
    <w:rsid w:val="00A25C50"/>
    <w:rsid w:val="00A30785"/>
    <w:rsid w:val="00A31FA8"/>
    <w:rsid w:val="00A35649"/>
    <w:rsid w:val="00A37F8F"/>
    <w:rsid w:val="00A4085A"/>
    <w:rsid w:val="00A443FC"/>
    <w:rsid w:val="00A51938"/>
    <w:rsid w:val="00A52E05"/>
    <w:rsid w:val="00A54318"/>
    <w:rsid w:val="00A549BD"/>
    <w:rsid w:val="00A549D5"/>
    <w:rsid w:val="00A566AF"/>
    <w:rsid w:val="00A67DFE"/>
    <w:rsid w:val="00A7113A"/>
    <w:rsid w:val="00A72587"/>
    <w:rsid w:val="00A72F6F"/>
    <w:rsid w:val="00A73849"/>
    <w:rsid w:val="00A73D81"/>
    <w:rsid w:val="00A76355"/>
    <w:rsid w:val="00A85523"/>
    <w:rsid w:val="00A916DE"/>
    <w:rsid w:val="00A9456A"/>
    <w:rsid w:val="00A95040"/>
    <w:rsid w:val="00A97796"/>
    <w:rsid w:val="00AA3FBC"/>
    <w:rsid w:val="00AA6293"/>
    <w:rsid w:val="00AA6A6B"/>
    <w:rsid w:val="00AA7A98"/>
    <w:rsid w:val="00AB017F"/>
    <w:rsid w:val="00AB2518"/>
    <w:rsid w:val="00AB4172"/>
    <w:rsid w:val="00AB41D9"/>
    <w:rsid w:val="00AB4255"/>
    <w:rsid w:val="00AB665B"/>
    <w:rsid w:val="00AB6FAA"/>
    <w:rsid w:val="00AB7B1B"/>
    <w:rsid w:val="00AC0813"/>
    <w:rsid w:val="00AC33DF"/>
    <w:rsid w:val="00AC4177"/>
    <w:rsid w:val="00AD02BA"/>
    <w:rsid w:val="00AD06FB"/>
    <w:rsid w:val="00AD15A1"/>
    <w:rsid w:val="00AD16F4"/>
    <w:rsid w:val="00AE18B8"/>
    <w:rsid w:val="00AE2382"/>
    <w:rsid w:val="00AE3906"/>
    <w:rsid w:val="00AF015F"/>
    <w:rsid w:val="00AF0A28"/>
    <w:rsid w:val="00AF6AF6"/>
    <w:rsid w:val="00AF7EB3"/>
    <w:rsid w:val="00B0067C"/>
    <w:rsid w:val="00B03FC1"/>
    <w:rsid w:val="00B116C2"/>
    <w:rsid w:val="00B12062"/>
    <w:rsid w:val="00B125B6"/>
    <w:rsid w:val="00B14AEC"/>
    <w:rsid w:val="00B20176"/>
    <w:rsid w:val="00B21706"/>
    <w:rsid w:val="00B23FF1"/>
    <w:rsid w:val="00B24F19"/>
    <w:rsid w:val="00B325F6"/>
    <w:rsid w:val="00B33E18"/>
    <w:rsid w:val="00B35394"/>
    <w:rsid w:val="00B36EB3"/>
    <w:rsid w:val="00B40915"/>
    <w:rsid w:val="00B40C7C"/>
    <w:rsid w:val="00B42561"/>
    <w:rsid w:val="00B4387E"/>
    <w:rsid w:val="00B43936"/>
    <w:rsid w:val="00B4472C"/>
    <w:rsid w:val="00B44A58"/>
    <w:rsid w:val="00B45365"/>
    <w:rsid w:val="00B4591F"/>
    <w:rsid w:val="00B463ED"/>
    <w:rsid w:val="00B51945"/>
    <w:rsid w:val="00B522E2"/>
    <w:rsid w:val="00B53F07"/>
    <w:rsid w:val="00B54C23"/>
    <w:rsid w:val="00B55BC8"/>
    <w:rsid w:val="00B63829"/>
    <w:rsid w:val="00B63CEE"/>
    <w:rsid w:val="00B6557A"/>
    <w:rsid w:val="00B65842"/>
    <w:rsid w:val="00B65F7A"/>
    <w:rsid w:val="00B67A1E"/>
    <w:rsid w:val="00B760FF"/>
    <w:rsid w:val="00B766F9"/>
    <w:rsid w:val="00B770F6"/>
    <w:rsid w:val="00B774D3"/>
    <w:rsid w:val="00B81835"/>
    <w:rsid w:val="00B848DA"/>
    <w:rsid w:val="00B87C87"/>
    <w:rsid w:val="00B918AC"/>
    <w:rsid w:val="00B94D93"/>
    <w:rsid w:val="00B951F7"/>
    <w:rsid w:val="00B95AC0"/>
    <w:rsid w:val="00B95B54"/>
    <w:rsid w:val="00BA74C4"/>
    <w:rsid w:val="00BA7CD0"/>
    <w:rsid w:val="00BB553E"/>
    <w:rsid w:val="00BB5E4C"/>
    <w:rsid w:val="00BB689C"/>
    <w:rsid w:val="00BB7513"/>
    <w:rsid w:val="00BB770C"/>
    <w:rsid w:val="00BC0F4E"/>
    <w:rsid w:val="00BC30D1"/>
    <w:rsid w:val="00BC3E62"/>
    <w:rsid w:val="00BC4C26"/>
    <w:rsid w:val="00BD1040"/>
    <w:rsid w:val="00BD2381"/>
    <w:rsid w:val="00BD3753"/>
    <w:rsid w:val="00BD3FB7"/>
    <w:rsid w:val="00BD4701"/>
    <w:rsid w:val="00BD6C63"/>
    <w:rsid w:val="00BD78A0"/>
    <w:rsid w:val="00BE2474"/>
    <w:rsid w:val="00BF05F3"/>
    <w:rsid w:val="00BF4637"/>
    <w:rsid w:val="00BF5F5E"/>
    <w:rsid w:val="00BF75ED"/>
    <w:rsid w:val="00C0094C"/>
    <w:rsid w:val="00C02066"/>
    <w:rsid w:val="00C03B88"/>
    <w:rsid w:val="00C04FA7"/>
    <w:rsid w:val="00C100BC"/>
    <w:rsid w:val="00C15713"/>
    <w:rsid w:val="00C1745F"/>
    <w:rsid w:val="00C224DE"/>
    <w:rsid w:val="00C239E6"/>
    <w:rsid w:val="00C23BD3"/>
    <w:rsid w:val="00C24086"/>
    <w:rsid w:val="00C31130"/>
    <w:rsid w:val="00C3241A"/>
    <w:rsid w:val="00C33392"/>
    <w:rsid w:val="00C377DA"/>
    <w:rsid w:val="00C42A0D"/>
    <w:rsid w:val="00C42CCC"/>
    <w:rsid w:val="00C45856"/>
    <w:rsid w:val="00C45F5E"/>
    <w:rsid w:val="00C46B78"/>
    <w:rsid w:val="00C47324"/>
    <w:rsid w:val="00C51698"/>
    <w:rsid w:val="00C51AC3"/>
    <w:rsid w:val="00C54EF8"/>
    <w:rsid w:val="00C5575C"/>
    <w:rsid w:val="00C557CA"/>
    <w:rsid w:val="00C64AE9"/>
    <w:rsid w:val="00C654D2"/>
    <w:rsid w:val="00C70808"/>
    <w:rsid w:val="00C71992"/>
    <w:rsid w:val="00C7446A"/>
    <w:rsid w:val="00C74670"/>
    <w:rsid w:val="00C7499F"/>
    <w:rsid w:val="00C74CFC"/>
    <w:rsid w:val="00C779DF"/>
    <w:rsid w:val="00C81720"/>
    <w:rsid w:val="00C82044"/>
    <w:rsid w:val="00C83214"/>
    <w:rsid w:val="00C84382"/>
    <w:rsid w:val="00C849A4"/>
    <w:rsid w:val="00C90114"/>
    <w:rsid w:val="00C910C0"/>
    <w:rsid w:val="00C9496B"/>
    <w:rsid w:val="00C965B6"/>
    <w:rsid w:val="00C96B3B"/>
    <w:rsid w:val="00CA0C16"/>
    <w:rsid w:val="00CA133D"/>
    <w:rsid w:val="00CA5646"/>
    <w:rsid w:val="00CA6686"/>
    <w:rsid w:val="00CA6F13"/>
    <w:rsid w:val="00CA7F64"/>
    <w:rsid w:val="00CB0414"/>
    <w:rsid w:val="00CB600E"/>
    <w:rsid w:val="00CC1944"/>
    <w:rsid w:val="00CC4CE2"/>
    <w:rsid w:val="00CC5854"/>
    <w:rsid w:val="00CD2182"/>
    <w:rsid w:val="00CD2CDB"/>
    <w:rsid w:val="00CE0D00"/>
    <w:rsid w:val="00CE29BE"/>
    <w:rsid w:val="00CE33C3"/>
    <w:rsid w:val="00CE38EA"/>
    <w:rsid w:val="00CE3AB8"/>
    <w:rsid w:val="00CF0947"/>
    <w:rsid w:val="00CF31BC"/>
    <w:rsid w:val="00CF535D"/>
    <w:rsid w:val="00CF56B2"/>
    <w:rsid w:val="00CF6FB7"/>
    <w:rsid w:val="00D00006"/>
    <w:rsid w:val="00D01C16"/>
    <w:rsid w:val="00D05264"/>
    <w:rsid w:val="00D05CEE"/>
    <w:rsid w:val="00D103DC"/>
    <w:rsid w:val="00D14A10"/>
    <w:rsid w:val="00D1783B"/>
    <w:rsid w:val="00D300EE"/>
    <w:rsid w:val="00D30B74"/>
    <w:rsid w:val="00D312C5"/>
    <w:rsid w:val="00D32081"/>
    <w:rsid w:val="00D329C7"/>
    <w:rsid w:val="00D32C3A"/>
    <w:rsid w:val="00D33771"/>
    <w:rsid w:val="00D34A11"/>
    <w:rsid w:val="00D34B5E"/>
    <w:rsid w:val="00D34B78"/>
    <w:rsid w:val="00D37C18"/>
    <w:rsid w:val="00D40A1D"/>
    <w:rsid w:val="00D43BA3"/>
    <w:rsid w:val="00D45764"/>
    <w:rsid w:val="00D46845"/>
    <w:rsid w:val="00D46EC2"/>
    <w:rsid w:val="00D5160D"/>
    <w:rsid w:val="00D52E24"/>
    <w:rsid w:val="00D5474F"/>
    <w:rsid w:val="00D5542E"/>
    <w:rsid w:val="00D56166"/>
    <w:rsid w:val="00D603E0"/>
    <w:rsid w:val="00D62613"/>
    <w:rsid w:val="00D63D11"/>
    <w:rsid w:val="00D641B8"/>
    <w:rsid w:val="00D70842"/>
    <w:rsid w:val="00D7398E"/>
    <w:rsid w:val="00D7622B"/>
    <w:rsid w:val="00D76D76"/>
    <w:rsid w:val="00D806E7"/>
    <w:rsid w:val="00D8486A"/>
    <w:rsid w:val="00D87825"/>
    <w:rsid w:val="00D916C4"/>
    <w:rsid w:val="00D9732D"/>
    <w:rsid w:val="00D97ECA"/>
    <w:rsid w:val="00DA5E00"/>
    <w:rsid w:val="00DA72CE"/>
    <w:rsid w:val="00DB3FC3"/>
    <w:rsid w:val="00DB68AD"/>
    <w:rsid w:val="00DC0F17"/>
    <w:rsid w:val="00DC464B"/>
    <w:rsid w:val="00DC6505"/>
    <w:rsid w:val="00DD0CED"/>
    <w:rsid w:val="00DD53A3"/>
    <w:rsid w:val="00DD6552"/>
    <w:rsid w:val="00DD75BE"/>
    <w:rsid w:val="00DE0D08"/>
    <w:rsid w:val="00DE5B96"/>
    <w:rsid w:val="00DE5BCF"/>
    <w:rsid w:val="00DE64CF"/>
    <w:rsid w:val="00DE6F00"/>
    <w:rsid w:val="00DE7C50"/>
    <w:rsid w:val="00DF113A"/>
    <w:rsid w:val="00DF6281"/>
    <w:rsid w:val="00E004D1"/>
    <w:rsid w:val="00E00E98"/>
    <w:rsid w:val="00E0290C"/>
    <w:rsid w:val="00E03ECC"/>
    <w:rsid w:val="00E12504"/>
    <w:rsid w:val="00E13BE6"/>
    <w:rsid w:val="00E149A1"/>
    <w:rsid w:val="00E17C94"/>
    <w:rsid w:val="00E21E61"/>
    <w:rsid w:val="00E23E29"/>
    <w:rsid w:val="00E2412B"/>
    <w:rsid w:val="00E312D4"/>
    <w:rsid w:val="00E328AE"/>
    <w:rsid w:val="00E37F05"/>
    <w:rsid w:val="00E37FA8"/>
    <w:rsid w:val="00E4345B"/>
    <w:rsid w:val="00E46165"/>
    <w:rsid w:val="00E529CD"/>
    <w:rsid w:val="00E54151"/>
    <w:rsid w:val="00E55120"/>
    <w:rsid w:val="00E55663"/>
    <w:rsid w:val="00E576B8"/>
    <w:rsid w:val="00E6169A"/>
    <w:rsid w:val="00E61F2C"/>
    <w:rsid w:val="00E664D9"/>
    <w:rsid w:val="00E67FE5"/>
    <w:rsid w:val="00E70A3B"/>
    <w:rsid w:val="00E7114C"/>
    <w:rsid w:val="00E724CC"/>
    <w:rsid w:val="00E75768"/>
    <w:rsid w:val="00E77AE0"/>
    <w:rsid w:val="00E77B68"/>
    <w:rsid w:val="00E80962"/>
    <w:rsid w:val="00E80AA4"/>
    <w:rsid w:val="00E80E2B"/>
    <w:rsid w:val="00E81D9F"/>
    <w:rsid w:val="00E84E5F"/>
    <w:rsid w:val="00E87BE0"/>
    <w:rsid w:val="00E90ED8"/>
    <w:rsid w:val="00E92EDD"/>
    <w:rsid w:val="00E96D23"/>
    <w:rsid w:val="00E97418"/>
    <w:rsid w:val="00EA050D"/>
    <w:rsid w:val="00EA1E0C"/>
    <w:rsid w:val="00EA2E15"/>
    <w:rsid w:val="00EA3B35"/>
    <w:rsid w:val="00EA3B4D"/>
    <w:rsid w:val="00EA7598"/>
    <w:rsid w:val="00EB1C7E"/>
    <w:rsid w:val="00EB1E74"/>
    <w:rsid w:val="00EB29DB"/>
    <w:rsid w:val="00EB4C41"/>
    <w:rsid w:val="00EB77CC"/>
    <w:rsid w:val="00EC3774"/>
    <w:rsid w:val="00EC6176"/>
    <w:rsid w:val="00EC7613"/>
    <w:rsid w:val="00ED31C1"/>
    <w:rsid w:val="00ED3ACA"/>
    <w:rsid w:val="00EE01ED"/>
    <w:rsid w:val="00EE05AE"/>
    <w:rsid w:val="00EE14E4"/>
    <w:rsid w:val="00EE2AE7"/>
    <w:rsid w:val="00EE434B"/>
    <w:rsid w:val="00EE5BD2"/>
    <w:rsid w:val="00EE68E6"/>
    <w:rsid w:val="00EE6E23"/>
    <w:rsid w:val="00EE7D00"/>
    <w:rsid w:val="00EF1430"/>
    <w:rsid w:val="00EF3743"/>
    <w:rsid w:val="00F02A4D"/>
    <w:rsid w:val="00F0310E"/>
    <w:rsid w:val="00F04D31"/>
    <w:rsid w:val="00F10FE2"/>
    <w:rsid w:val="00F12029"/>
    <w:rsid w:val="00F12ED0"/>
    <w:rsid w:val="00F1491A"/>
    <w:rsid w:val="00F16693"/>
    <w:rsid w:val="00F20391"/>
    <w:rsid w:val="00F247BA"/>
    <w:rsid w:val="00F249C2"/>
    <w:rsid w:val="00F24EB0"/>
    <w:rsid w:val="00F37B39"/>
    <w:rsid w:val="00F4244E"/>
    <w:rsid w:val="00F42B70"/>
    <w:rsid w:val="00F47909"/>
    <w:rsid w:val="00F511C4"/>
    <w:rsid w:val="00F536FC"/>
    <w:rsid w:val="00F541B0"/>
    <w:rsid w:val="00F55816"/>
    <w:rsid w:val="00F56681"/>
    <w:rsid w:val="00F6119D"/>
    <w:rsid w:val="00F70BC5"/>
    <w:rsid w:val="00F71C25"/>
    <w:rsid w:val="00F73862"/>
    <w:rsid w:val="00F77906"/>
    <w:rsid w:val="00F81C48"/>
    <w:rsid w:val="00F84065"/>
    <w:rsid w:val="00F84285"/>
    <w:rsid w:val="00F904FF"/>
    <w:rsid w:val="00F920F5"/>
    <w:rsid w:val="00F925F3"/>
    <w:rsid w:val="00F92FA9"/>
    <w:rsid w:val="00FA626E"/>
    <w:rsid w:val="00FB0B32"/>
    <w:rsid w:val="00FC323C"/>
    <w:rsid w:val="00FD2579"/>
    <w:rsid w:val="00FD34FA"/>
    <w:rsid w:val="00FD66D9"/>
    <w:rsid w:val="00FE11D8"/>
    <w:rsid w:val="00FE681E"/>
    <w:rsid w:val="00FE7D2D"/>
    <w:rsid w:val="010356B7"/>
    <w:rsid w:val="017D7737"/>
    <w:rsid w:val="01EB68FC"/>
    <w:rsid w:val="024141DC"/>
    <w:rsid w:val="02544EC5"/>
    <w:rsid w:val="029B2199"/>
    <w:rsid w:val="02EC0514"/>
    <w:rsid w:val="02FC3896"/>
    <w:rsid w:val="03714E9A"/>
    <w:rsid w:val="03996E3F"/>
    <w:rsid w:val="03A367D0"/>
    <w:rsid w:val="03F05DA5"/>
    <w:rsid w:val="0452355B"/>
    <w:rsid w:val="04572531"/>
    <w:rsid w:val="04675F49"/>
    <w:rsid w:val="04C74740"/>
    <w:rsid w:val="05AD7DDA"/>
    <w:rsid w:val="06314567"/>
    <w:rsid w:val="06B93C26"/>
    <w:rsid w:val="07710416"/>
    <w:rsid w:val="0822369B"/>
    <w:rsid w:val="08536A17"/>
    <w:rsid w:val="08684037"/>
    <w:rsid w:val="089979DE"/>
    <w:rsid w:val="08DC7A2A"/>
    <w:rsid w:val="093D3223"/>
    <w:rsid w:val="0982073D"/>
    <w:rsid w:val="099B6F9D"/>
    <w:rsid w:val="0A05513D"/>
    <w:rsid w:val="0A0C1573"/>
    <w:rsid w:val="0A5A6688"/>
    <w:rsid w:val="0A7043FB"/>
    <w:rsid w:val="0AE24082"/>
    <w:rsid w:val="0B1D7F2A"/>
    <w:rsid w:val="0BC47497"/>
    <w:rsid w:val="0BF8495C"/>
    <w:rsid w:val="0CBC11DD"/>
    <w:rsid w:val="0CE006D8"/>
    <w:rsid w:val="0D13424E"/>
    <w:rsid w:val="0D404BBC"/>
    <w:rsid w:val="0D4C4D94"/>
    <w:rsid w:val="0D582D6E"/>
    <w:rsid w:val="0DBA0742"/>
    <w:rsid w:val="0DD95EFE"/>
    <w:rsid w:val="0F0942D3"/>
    <w:rsid w:val="0F3479B4"/>
    <w:rsid w:val="0F9C6DE1"/>
    <w:rsid w:val="104650B3"/>
    <w:rsid w:val="10572BB3"/>
    <w:rsid w:val="11BC340E"/>
    <w:rsid w:val="11EE6EF5"/>
    <w:rsid w:val="1285093D"/>
    <w:rsid w:val="13556701"/>
    <w:rsid w:val="13DF1AA7"/>
    <w:rsid w:val="14135229"/>
    <w:rsid w:val="14222D50"/>
    <w:rsid w:val="149E726C"/>
    <w:rsid w:val="14B545B5"/>
    <w:rsid w:val="14B7278A"/>
    <w:rsid w:val="14F84D47"/>
    <w:rsid w:val="155E69FB"/>
    <w:rsid w:val="156100F4"/>
    <w:rsid w:val="15AB0B5D"/>
    <w:rsid w:val="17677511"/>
    <w:rsid w:val="18491BE4"/>
    <w:rsid w:val="188B5709"/>
    <w:rsid w:val="18F91AB7"/>
    <w:rsid w:val="190F4CC3"/>
    <w:rsid w:val="1AAF730B"/>
    <w:rsid w:val="1BA675B9"/>
    <w:rsid w:val="1E0208EF"/>
    <w:rsid w:val="1E0A5693"/>
    <w:rsid w:val="1E366398"/>
    <w:rsid w:val="1FAF1CE7"/>
    <w:rsid w:val="202E11BC"/>
    <w:rsid w:val="2096633F"/>
    <w:rsid w:val="20B414E4"/>
    <w:rsid w:val="20C20786"/>
    <w:rsid w:val="2171202A"/>
    <w:rsid w:val="21CE7881"/>
    <w:rsid w:val="22002112"/>
    <w:rsid w:val="22DE2AD5"/>
    <w:rsid w:val="23C05002"/>
    <w:rsid w:val="23E6731F"/>
    <w:rsid w:val="23E97447"/>
    <w:rsid w:val="24A563F4"/>
    <w:rsid w:val="24C90DD4"/>
    <w:rsid w:val="25FD09D9"/>
    <w:rsid w:val="2652435A"/>
    <w:rsid w:val="26A53820"/>
    <w:rsid w:val="26A86327"/>
    <w:rsid w:val="271138CD"/>
    <w:rsid w:val="273B57ED"/>
    <w:rsid w:val="27743E5C"/>
    <w:rsid w:val="27A74232"/>
    <w:rsid w:val="27D713C8"/>
    <w:rsid w:val="29220AB1"/>
    <w:rsid w:val="293076F8"/>
    <w:rsid w:val="29452A44"/>
    <w:rsid w:val="298E37B5"/>
    <w:rsid w:val="2ACC06D1"/>
    <w:rsid w:val="2BA41D4A"/>
    <w:rsid w:val="2BF33EE9"/>
    <w:rsid w:val="2D5552B6"/>
    <w:rsid w:val="2E487788"/>
    <w:rsid w:val="2F334FF1"/>
    <w:rsid w:val="308C0468"/>
    <w:rsid w:val="309F63EE"/>
    <w:rsid w:val="30F754F2"/>
    <w:rsid w:val="314942A1"/>
    <w:rsid w:val="31575896"/>
    <w:rsid w:val="31832BA0"/>
    <w:rsid w:val="31933B9B"/>
    <w:rsid w:val="319A64A7"/>
    <w:rsid w:val="32DB0CC5"/>
    <w:rsid w:val="33D20A09"/>
    <w:rsid w:val="33D55B50"/>
    <w:rsid w:val="33DC449A"/>
    <w:rsid w:val="34146C6D"/>
    <w:rsid w:val="34406887"/>
    <w:rsid w:val="34596CAE"/>
    <w:rsid w:val="353512F9"/>
    <w:rsid w:val="354808AB"/>
    <w:rsid w:val="356F44CC"/>
    <w:rsid w:val="35CB22D1"/>
    <w:rsid w:val="36F561F5"/>
    <w:rsid w:val="37D85BE8"/>
    <w:rsid w:val="37FF50FC"/>
    <w:rsid w:val="380E534A"/>
    <w:rsid w:val="38752502"/>
    <w:rsid w:val="391A0B04"/>
    <w:rsid w:val="393B616F"/>
    <w:rsid w:val="39741A71"/>
    <w:rsid w:val="398156D7"/>
    <w:rsid w:val="3A585CFF"/>
    <w:rsid w:val="3AAB598F"/>
    <w:rsid w:val="3BB04DC6"/>
    <w:rsid w:val="3BE1304A"/>
    <w:rsid w:val="3C69515B"/>
    <w:rsid w:val="3CF03B2D"/>
    <w:rsid w:val="3D9D5A63"/>
    <w:rsid w:val="3DA775A3"/>
    <w:rsid w:val="3E14789A"/>
    <w:rsid w:val="3F23643C"/>
    <w:rsid w:val="3F55121F"/>
    <w:rsid w:val="3F6A2C89"/>
    <w:rsid w:val="3F6F78D3"/>
    <w:rsid w:val="3FB703BD"/>
    <w:rsid w:val="401A04CC"/>
    <w:rsid w:val="418958C7"/>
    <w:rsid w:val="426F77CC"/>
    <w:rsid w:val="42897B25"/>
    <w:rsid w:val="42B15B0D"/>
    <w:rsid w:val="42B53915"/>
    <w:rsid w:val="42E45EE2"/>
    <w:rsid w:val="43120CA1"/>
    <w:rsid w:val="432A3029"/>
    <w:rsid w:val="43794535"/>
    <w:rsid w:val="43B4288A"/>
    <w:rsid w:val="43FF30AC"/>
    <w:rsid w:val="445F1FA6"/>
    <w:rsid w:val="449C2DD8"/>
    <w:rsid w:val="45B91EE5"/>
    <w:rsid w:val="467D66D8"/>
    <w:rsid w:val="46831D3A"/>
    <w:rsid w:val="4703181C"/>
    <w:rsid w:val="47D54F68"/>
    <w:rsid w:val="47DB3D58"/>
    <w:rsid w:val="47E03E3C"/>
    <w:rsid w:val="486F6797"/>
    <w:rsid w:val="48D9622A"/>
    <w:rsid w:val="491F4C08"/>
    <w:rsid w:val="49965FC8"/>
    <w:rsid w:val="49DB5E2A"/>
    <w:rsid w:val="4ABC251C"/>
    <w:rsid w:val="4B466132"/>
    <w:rsid w:val="4B797B0F"/>
    <w:rsid w:val="4BAA0AAD"/>
    <w:rsid w:val="4BBA60B1"/>
    <w:rsid w:val="4BBC2425"/>
    <w:rsid w:val="4BC17C5C"/>
    <w:rsid w:val="4C345A2C"/>
    <w:rsid w:val="4C3F171F"/>
    <w:rsid w:val="4CF66F3E"/>
    <w:rsid w:val="4D8F6640"/>
    <w:rsid w:val="4DB9335A"/>
    <w:rsid w:val="4DD637A3"/>
    <w:rsid w:val="4EF45A9B"/>
    <w:rsid w:val="4EFE20DA"/>
    <w:rsid w:val="4FCB46B2"/>
    <w:rsid w:val="4FF42BDF"/>
    <w:rsid w:val="504D1925"/>
    <w:rsid w:val="50790FCF"/>
    <w:rsid w:val="508C3883"/>
    <w:rsid w:val="51402F52"/>
    <w:rsid w:val="51721A46"/>
    <w:rsid w:val="51E8110B"/>
    <w:rsid w:val="51ED51B2"/>
    <w:rsid w:val="53362C11"/>
    <w:rsid w:val="53CB6987"/>
    <w:rsid w:val="541B54F8"/>
    <w:rsid w:val="550F18F2"/>
    <w:rsid w:val="551137F3"/>
    <w:rsid w:val="55A37A3E"/>
    <w:rsid w:val="55A70A1D"/>
    <w:rsid w:val="56E37159"/>
    <w:rsid w:val="5722007E"/>
    <w:rsid w:val="57DC5599"/>
    <w:rsid w:val="58CD1FA8"/>
    <w:rsid w:val="58D63968"/>
    <w:rsid w:val="5975743C"/>
    <w:rsid w:val="59874473"/>
    <w:rsid w:val="5A411408"/>
    <w:rsid w:val="5A711BE1"/>
    <w:rsid w:val="5BEB5897"/>
    <w:rsid w:val="5C7F7FB1"/>
    <w:rsid w:val="5D2E002E"/>
    <w:rsid w:val="5D3E3727"/>
    <w:rsid w:val="5D667F58"/>
    <w:rsid w:val="5D6724E9"/>
    <w:rsid w:val="5D941BF1"/>
    <w:rsid w:val="5DDE2CEB"/>
    <w:rsid w:val="5E0B01C8"/>
    <w:rsid w:val="5F2B797E"/>
    <w:rsid w:val="5F526965"/>
    <w:rsid w:val="5F7F5AE6"/>
    <w:rsid w:val="60AD2EFE"/>
    <w:rsid w:val="60F577E0"/>
    <w:rsid w:val="60F76D3C"/>
    <w:rsid w:val="611D5099"/>
    <w:rsid w:val="62143C96"/>
    <w:rsid w:val="62351422"/>
    <w:rsid w:val="64081567"/>
    <w:rsid w:val="640A0015"/>
    <w:rsid w:val="641C55CA"/>
    <w:rsid w:val="64B655B6"/>
    <w:rsid w:val="65E17F1D"/>
    <w:rsid w:val="666E44D5"/>
    <w:rsid w:val="66831787"/>
    <w:rsid w:val="671200F1"/>
    <w:rsid w:val="680417E0"/>
    <w:rsid w:val="6874027B"/>
    <w:rsid w:val="69761612"/>
    <w:rsid w:val="69B728B3"/>
    <w:rsid w:val="69C51D1A"/>
    <w:rsid w:val="69F77A80"/>
    <w:rsid w:val="6A03446E"/>
    <w:rsid w:val="6A1F0C96"/>
    <w:rsid w:val="6A6815C7"/>
    <w:rsid w:val="6A7F7FCA"/>
    <w:rsid w:val="6A8353C1"/>
    <w:rsid w:val="6AEE6155"/>
    <w:rsid w:val="6B471AC2"/>
    <w:rsid w:val="6B6C4B43"/>
    <w:rsid w:val="6BAC34E2"/>
    <w:rsid w:val="6BF32B6E"/>
    <w:rsid w:val="6CF21C5D"/>
    <w:rsid w:val="6D0843F7"/>
    <w:rsid w:val="6D3A0E73"/>
    <w:rsid w:val="6D3B6AE6"/>
    <w:rsid w:val="6D9C47B6"/>
    <w:rsid w:val="6DA72458"/>
    <w:rsid w:val="6EB105AA"/>
    <w:rsid w:val="6EF32018"/>
    <w:rsid w:val="6F157DF0"/>
    <w:rsid w:val="6F1F43BF"/>
    <w:rsid w:val="6FA04DBB"/>
    <w:rsid w:val="6FE26324"/>
    <w:rsid w:val="70036A46"/>
    <w:rsid w:val="702047C6"/>
    <w:rsid w:val="7057720C"/>
    <w:rsid w:val="70E64A50"/>
    <w:rsid w:val="70EF1CC6"/>
    <w:rsid w:val="7202306F"/>
    <w:rsid w:val="722C02D0"/>
    <w:rsid w:val="7394729D"/>
    <w:rsid w:val="74371495"/>
    <w:rsid w:val="74AF5AA0"/>
    <w:rsid w:val="74B60BDD"/>
    <w:rsid w:val="74F80D0B"/>
    <w:rsid w:val="75351302"/>
    <w:rsid w:val="7545098D"/>
    <w:rsid w:val="762A1337"/>
    <w:rsid w:val="769C55E1"/>
    <w:rsid w:val="76CF27C0"/>
    <w:rsid w:val="770C25DD"/>
    <w:rsid w:val="77B41F09"/>
    <w:rsid w:val="77ED0DBA"/>
    <w:rsid w:val="78933027"/>
    <w:rsid w:val="78AF42C1"/>
    <w:rsid w:val="7916498B"/>
    <w:rsid w:val="79443502"/>
    <w:rsid w:val="796B643A"/>
    <w:rsid w:val="797F6D29"/>
    <w:rsid w:val="79983E9C"/>
    <w:rsid w:val="79EF238F"/>
    <w:rsid w:val="7A2860D9"/>
    <w:rsid w:val="7B9A3006"/>
    <w:rsid w:val="7BC704DA"/>
    <w:rsid w:val="7BFE3B42"/>
    <w:rsid w:val="7D4B1E05"/>
    <w:rsid w:val="7D644081"/>
    <w:rsid w:val="7DA043BF"/>
    <w:rsid w:val="7E117697"/>
    <w:rsid w:val="7E154A6C"/>
    <w:rsid w:val="7EA64989"/>
    <w:rsid w:val="7EA7009E"/>
    <w:rsid w:val="7F037115"/>
    <w:rsid w:val="7F3B33BF"/>
    <w:rsid w:val="7F731732"/>
    <w:rsid w:val="7F927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0" w:semiHidden="0" w:name="footer"/>
    <w:lsdException w:qFormat="1" w:unhideWhenUsed="0" w:uiPriority="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2"/>
    <w:qFormat/>
    <w:uiPriority w:val="0"/>
    <w:pPr>
      <w:keepNext/>
      <w:keepLines/>
      <w:widowControl/>
      <w:snapToGrid w:val="0"/>
      <w:spacing w:line="360" w:lineRule="auto"/>
      <w:jc w:val="left"/>
      <w:outlineLvl w:val="1"/>
    </w:pPr>
    <w:rPr>
      <w:rFonts w:cs="宋体" w:asciiTheme="minorEastAsia" w:hAnsiTheme="minorEastAsia" w:eastAsiaTheme="minorEastAsia"/>
      <w:b/>
      <w:bCs/>
      <w:kern w:val="0"/>
      <w:szCs w:val="21"/>
    </w:rPr>
  </w:style>
  <w:style w:type="paragraph" w:styleId="5">
    <w:name w:val="heading 3"/>
    <w:basedOn w:val="1"/>
    <w:next w:val="1"/>
    <w:link w:val="35"/>
    <w:qFormat/>
    <w:uiPriority w:val="0"/>
    <w:pPr>
      <w:keepNext/>
      <w:keepLines/>
      <w:spacing w:before="260" w:after="260" w:line="416" w:lineRule="auto"/>
      <w:outlineLvl w:val="2"/>
    </w:pPr>
    <w:rPr>
      <w:b/>
      <w:bCs/>
      <w:sz w:val="32"/>
      <w:szCs w:val="32"/>
    </w:rPr>
  </w:style>
  <w:style w:type="paragraph" w:styleId="2">
    <w:name w:val="heading 4"/>
    <w:basedOn w:val="1"/>
    <w:next w:val="1"/>
    <w:link w:val="41"/>
    <w:qFormat/>
    <w:uiPriority w:val="9"/>
    <w:pPr>
      <w:keepNext/>
      <w:keepLines/>
      <w:spacing w:before="280" w:after="290" w:line="376" w:lineRule="auto"/>
      <w:outlineLvl w:val="3"/>
    </w:pPr>
    <w:rPr>
      <w:rFonts w:ascii="Cambria" w:hAnsi="Cambria"/>
      <w:b/>
      <w:bCs/>
      <w:sz w:val="28"/>
      <w:szCs w:val="28"/>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6">
    <w:name w:val="table of authorities"/>
    <w:basedOn w:val="1"/>
    <w:next w:val="1"/>
    <w:unhideWhenUsed/>
    <w:qFormat/>
    <w:uiPriority w:val="0"/>
    <w:pPr>
      <w:ind w:left="420" w:leftChars="200"/>
    </w:pPr>
  </w:style>
  <w:style w:type="paragraph" w:styleId="7">
    <w:name w:val="Normal Indent"/>
    <w:basedOn w:val="1"/>
    <w:link w:val="31"/>
    <w:qFormat/>
    <w:uiPriority w:val="0"/>
    <w:pPr>
      <w:ind w:firstLine="420" w:firstLineChars="200"/>
    </w:pPr>
    <w:rPr>
      <w:szCs w:val="24"/>
    </w:rPr>
  </w:style>
  <w:style w:type="paragraph" w:styleId="8">
    <w:name w:val="caption"/>
    <w:basedOn w:val="1"/>
    <w:next w:val="1"/>
    <w:qFormat/>
    <w:uiPriority w:val="35"/>
    <w:rPr>
      <w:rFonts w:ascii="Cambria" w:hAnsi="Cambria" w:eastAsia="黑体"/>
      <w:sz w:val="20"/>
      <w:szCs w:val="20"/>
    </w:rPr>
  </w:style>
  <w:style w:type="paragraph" w:styleId="9">
    <w:name w:val="annotation text"/>
    <w:basedOn w:val="1"/>
    <w:link w:val="45"/>
    <w:unhideWhenUsed/>
    <w:qFormat/>
    <w:uiPriority w:val="0"/>
    <w:pPr>
      <w:jc w:val="left"/>
    </w:pPr>
  </w:style>
  <w:style w:type="paragraph" w:styleId="10">
    <w:name w:val="Body Text 3"/>
    <w:basedOn w:val="1"/>
    <w:link w:val="39"/>
    <w:qFormat/>
    <w:uiPriority w:val="0"/>
    <w:pPr>
      <w:spacing w:after="120" w:line="360" w:lineRule="auto"/>
    </w:pPr>
    <w:rPr>
      <w:sz w:val="16"/>
      <w:szCs w:val="16"/>
    </w:rPr>
  </w:style>
  <w:style w:type="paragraph" w:styleId="11">
    <w:name w:val="Body Text"/>
    <w:basedOn w:val="1"/>
    <w:next w:val="12"/>
    <w:link w:val="43"/>
    <w:unhideWhenUsed/>
    <w:qFormat/>
    <w:uiPriority w:val="0"/>
    <w:pPr>
      <w:spacing w:after="120"/>
    </w:pPr>
  </w:style>
  <w:style w:type="paragraph" w:styleId="12">
    <w:name w:val="toc 4"/>
    <w:basedOn w:val="1"/>
    <w:next w:val="1"/>
    <w:qFormat/>
    <w:uiPriority w:val="0"/>
    <w:pPr>
      <w:spacing w:line="360" w:lineRule="auto"/>
      <w:ind w:left="720"/>
      <w:jc w:val="left"/>
    </w:pPr>
    <w:rPr>
      <w:sz w:val="18"/>
      <w:szCs w:val="18"/>
    </w:rPr>
  </w:style>
  <w:style w:type="paragraph" w:styleId="13">
    <w:name w:val="Plain Text"/>
    <w:basedOn w:val="1"/>
    <w:link w:val="46"/>
    <w:qFormat/>
    <w:uiPriority w:val="0"/>
    <w:pPr>
      <w:adjustRightInd w:val="0"/>
      <w:snapToGrid w:val="0"/>
      <w:spacing w:before="156" w:beforeLines="50" w:after="156" w:afterLines="50" w:line="360" w:lineRule="auto"/>
      <w:jc w:val="left"/>
      <w:outlineLvl w:val="1"/>
    </w:pPr>
    <w:rPr>
      <w:rFonts w:ascii="宋体" w:hAnsi="宋体"/>
      <w:b/>
      <w:kern w:val="0"/>
      <w:szCs w:val="21"/>
    </w:r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50"/>
    <w:unhideWhenUsed/>
    <w:qFormat/>
    <w:uiPriority w:val="99"/>
    <w:rPr>
      <w:sz w:val="18"/>
      <w:szCs w:val="18"/>
    </w:rPr>
  </w:style>
  <w:style w:type="paragraph" w:styleId="16">
    <w:name w:val="footer"/>
    <w:basedOn w:val="1"/>
    <w:link w:val="49"/>
    <w:unhideWhenUsed/>
    <w:qFormat/>
    <w:uiPriority w:val="0"/>
    <w:pPr>
      <w:tabs>
        <w:tab w:val="center" w:pos="4153"/>
        <w:tab w:val="right" w:pos="8306"/>
      </w:tabs>
      <w:snapToGrid w:val="0"/>
      <w:jc w:val="left"/>
    </w:pPr>
    <w:rPr>
      <w:sz w:val="18"/>
      <w:szCs w:val="18"/>
    </w:rPr>
  </w:style>
  <w:style w:type="paragraph" w:styleId="17">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index heading"/>
    <w:basedOn w:val="1"/>
    <w:next w:val="19"/>
    <w:semiHidden/>
    <w:qFormat/>
    <w:uiPriority w:val="0"/>
    <w:rPr>
      <w:rFonts w:ascii="Times New Roman" w:hAnsi="Times New Roman"/>
      <w:szCs w:val="20"/>
    </w:rPr>
  </w:style>
  <w:style w:type="paragraph" w:styleId="19">
    <w:name w:val="index 1"/>
    <w:basedOn w:val="1"/>
    <w:next w:val="1"/>
    <w:unhideWhenUsed/>
    <w:qFormat/>
    <w:uiPriority w:val="99"/>
  </w:style>
  <w:style w:type="paragraph" w:styleId="20">
    <w:name w:val="Normal (Web)"/>
    <w:basedOn w:val="1"/>
    <w:unhideWhenUsed/>
    <w:qFormat/>
    <w:uiPriority w:val="99"/>
    <w:pPr>
      <w:spacing w:beforeAutospacing="1" w:afterAutospacing="1"/>
      <w:jc w:val="left"/>
    </w:pPr>
    <w:rPr>
      <w:kern w:val="0"/>
      <w:sz w:val="24"/>
    </w:rPr>
  </w:style>
  <w:style w:type="paragraph" w:styleId="21">
    <w:name w:val="annotation subject"/>
    <w:basedOn w:val="9"/>
    <w:next w:val="9"/>
    <w:link w:val="47"/>
    <w:unhideWhenUsed/>
    <w:qFormat/>
    <w:uiPriority w:val="0"/>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page number"/>
    <w:basedOn w:val="24"/>
    <w:qFormat/>
    <w:uiPriority w:val="0"/>
  </w:style>
  <w:style w:type="character" w:styleId="27">
    <w:name w:val="Emphasis"/>
    <w:basedOn w:val="24"/>
    <w:qFormat/>
    <w:uiPriority w:val="20"/>
    <w:rPr>
      <w:i/>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customStyle="1" w:styleId="30">
    <w:name w:val="批注框文本 Char"/>
    <w:qFormat/>
    <w:uiPriority w:val="0"/>
    <w:rPr>
      <w:kern w:val="2"/>
      <w:sz w:val="18"/>
      <w:szCs w:val="18"/>
    </w:rPr>
  </w:style>
  <w:style w:type="character" w:customStyle="1" w:styleId="31">
    <w:name w:val="正文缩进 字符"/>
    <w:link w:val="7"/>
    <w:qFormat/>
    <w:uiPriority w:val="0"/>
    <w:rPr>
      <w:kern w:val="2"/>
      <w:sz w:val="21"/>
      <w:szCs w:val="24"/>
    </w:rPr>
  </w:style>
  <w:style w:type="character" w:customStyle="1" w:styleId="32">
    <w:name w:val="纯文本 Char1"/>
    <w:qFormat/>
    <w:uiPriority w:val="0"/>
    <w:rPr>
      <w:rFonts w:ascii="宋体" w:hAnsi="Courier New" w:cs="Courier New"/>
      <w:kern w:val="2"/>
      <w:sz w:val="21"/>
      <w:szCs w:val="21"/>
    </w:rPr>
  </w:style>
  <w:style w:type="character" w:customStyle="1" w:styleId="33">
    <w:name w:val="未处理的提及1"/>
    <w:unhideWhenUsed/>
    <w:qFormat/>
    <w:uiPriority w:val="99"/>
    <w:rPr>
      <w:color w:val="605E5C"/>
      <w:shd w:val="clear" w:color="auto" w:fill="E1DFDD"/>
    </w:rPr>
  </w:style>
  <w:style w:type="character" w:customStyle="1" w:styleId="34">
    <w:name w:val="页眉 字符"/>
    <w:qFormat/>
    <w:uiPriority w:val="99"/>
    <w:rPr>
      <w:sz w:val="18"/>
      <w:szCs w:val="18"/>
    </w:rPr>
  </w:style>
  <w:style w:type="character" w:customStyle="1" w:styleId="35">
    <w:name w:val="标题 3 字符1"/>
    <w:link w:val="5"/>
    <w:qFormat/>
    <w:uiPriority w:val="0"/>
    <w:rPr>
      <w:b/>
      <w:bCs/>
      <w:kern w:val="2"/>
      <w:sz w:val="32"/>
      <w:szCs w:val="32"/>
    </w:rPr>
  </w:style>
  <w:style w:type="character" w:customStyle="1" w:styleId="36">
    <w:name w:val="页眉 字符1"/>
    <w:link w:val="17"/>
    <w:qFormat/>
    <w:uiPriority w:val="0"/>
    <w:rPr>
      <w:kern w:val="2"/>
      <w:sz w:val="18"/>
      <w:szCs w:val="18"/>
    </w:rPr>
  </w:style>
  <w:style w:type="character" w:customStyle="1" w:styleId="37">
    <w:name w:val="标题 3 字符"/>
    <w:qFormat/>
    <w:uiPriority w:val="0"/>
    <w:rPr>
      <w:rFonts w:ascii="宋体"/>
      <w:b/>
      <w:kern w:val="2"/>
      <w:sz w:val="32"/>
      <w:szCs w:val="24"/>
    </w:rPr>
  </w:style>
  <w:style w:type="character" w:customStyle="1" w:styleId="38">
    <w:name w:val="标题 2 字符"/>
    <w:qFormat/>
    <w:uiPriority w:val="0"/>
    <w:rPr>
      <w:rFonts w:ascii="宋体"/>
      <w:kern w:val="2"/>
      <w:sz w:val="28"/>
      <w:szCs w:val="24"/>
      <w:u w:val="single"/>
    </w:rPr>
  </w:style>
  <w:style w:type="character" w:customStyle="1" w:styleId="39">
    <w:name w:val="正文文本 3 字符"/>
    <w:link w:val="10"/>
    <w:qFormat/>
    <w:uiPriority w:val="0"/>
    <w:rPr>
      <w:kern w:val="2"/>
      <w:sz w:val="16"/>
      <w:szCs w:val="16"/>
    </w:rPr>
  </w:style>
  <w:style w:type="character" w:customStyle="1" w:styleId="40">
    <w:name w:val="纯文本 字符"/>
    <w:qFormat/>
    <w:uiPriority w:val="0"/>
    <w:rPr>
      <w:rFonts w:ascii="宋体" w:hAnsi="Courier New"/>
      <w:kern w:val="2"/>
      <w:sz w:val="21"/>
      <w:szCs w:val="24"/>
    </w:rPr>
  </w:style>
  <w:style w:type="character" w:customStyle="1" w:styleId="41">
    <w:name w:val="标题 4 字符"/>
    <w:link w:val="2"/>
    <w:qFormat/>
    <w:uiPriority w:val="9"/>
    <w:rPr>
      <w:rFonts w:ascii="Cambria" w:hAnsi="Cambria"/>
      <w:b/>
      <w:bCs/>
      <w:kern w:val="2"/>
      <w:sz w:val="28"/>
      <w:szCs w:val="28"/>
    </w:rPr>
  </w:style>
  <w:style w:type="character" w:customStyle="1" w:styleId="42">
    <w:name w:val="标题 2 字符1"/>
    <w:link w:val="4"/>
    <w:qFormat/>
    <w:uiPriority w:val="0"/>
    <w:rPr>
      <w:rFonts w:cs="宋体" w:asciiTheme="minorEastAsia" w:hAnsiTheme="minorEastAsia" w:eastAsiaTheme="minorEastAsia"/>
      <w:b/>
      <w:bCs/>
      <w:sz w:val="21"/>
      <w:szCs w:val="21"/>
    </w:rPr>
  </w:style>
  <w:style w:type="character" w:customStyle="1" w:styleId="43">
    <w:name w:val="正文文本 字符"/>
    <w:link w:val="11"/>
    <w:qFormat/>
    <w:uiPriority w:val="0"/>
    <w:rPr>
      <w:kern w:val="2"/>
      <w:sz w:val="21"/>
      <w:szCs w:val="22"/>
    </w:rPr>
  </w:style>
  <w:style w:type="character" w:customStyle="1" w:styleId="44">
    <w:name w:val="页脚 字符"/>
    <w:qFormat/>
    <w:uiPriority w:val="0"/>
    <w:rPr>
      <w:sz w:val="18"/>
      <w:szCs w:val="18"/>
    </w:rPr>
  </w:style>
  <w:style w:type="character" w:customStyle="1" w:styleId="45">
    <w:name w:val="批注文字 字符"/>
    <w:link w:val="9"/>
    <w:qFormat/>
    <w:uiPriority w:val="0"/>
    <w:rPr>
      <w:kern w:val="2"/>
      <w:sz w:val="21"/>
      <w:szCs w:val="22"/>
    </w:rPr>
  </w:style>
  <w:style w:type="character" w:customStyle="1" w:styleId="46">
    <w:name w:val="纯文本 字符1"/>
    <w:link w:val="13"/>
    <w:qFormat/>
    <w:uiPriority w:val="0"/>
    <w:rPr>
      <w:rFonts w:ascii="宋体" w:hAnsi="宋体"/>
      <w:b/>
      <w:sz w:val="21"/>
      <w:szCs w:val="21"/>
    </w:rPr>
  </w:style>
  <w:style w:type="character" w:customStyle="1" w:styleId="47">
    <w:name w:val="批注主题 字符"/>
    <w:link w:val="21"/>
    <w:qFormat/>
    <w:uiPriority w:val="0"/>
    <w:rPr>
      <w:b/>
      <w:bCs/>
      <w:kern w:val="2"/>
      <w:sz w:val="21"/>
      <w:szCs w:val="22"/>
    </w:rPr>
  </w:style>
  <w:style w:type="character" w:customStyle="1" w:styleId="48">
    <w:name w:val="正文文本 3 Char1"/>
    <w:semiHidden/>
    <w:qFormat/>
    <w:uiPriority w:val="99"/>
    <w:rPr>
      <w:kern w:val="2"/>
      <w:sz w:val="16"/>
      <w:szCs w:val="16"/>
    </w:rPr>
  </w:style>
  <w:style w:type="character" w:customStyle="1" w:styleId="49">
    <w:name w:val="页脚 字符1"/>
    <w:link w:val="16"/>
    <w:qFormat/>
    <w:uiPriority w:val="0"/>
    <w:rPr>
      <w:kern w:val="2"/>
      <w:sz w:val="18"/>
      <w:szCs w:val="18"/>
    </w:rPr>
  </w:style>
  <w:style w:type="character" w:customStyle="1" w:styleId="50">
    <w:name w:val="批注框文本 字符"/>
    <w:link w:val="15"/>
    <w:qFormat/>
    <w:uiPriority w:val="99"/>
    <w:rPr>
      <w:kern w:val="2"/>
      <w:sz w:val="18"/>
      <w:szCs w:val="18"/>
    </w:rPr>
  </w:style>
  <w:style w:type="paragraph" w:customStyle="1" w:styleId="51">
    <w:name w:val="表格文字"/>
    <w:basedOn w:val="1"/>
    <w:qFormat/>
    <w:uiPriority w:val="0"/>
    <w:pPr>
      <w:spacing w:before="25" w:after="25" w:line="300" w:lineRule="auto"/>
    </w:pPr>
    <w:rPr>
      <w:rFonts w:ascii="Times" w:hAnsi="Times"/>
      <w:spacing w:val="10"/>
      <w:kern w:val="0"/>
      <w:sz w:val="24"/>
      <w:szCs w:val="20"/>
    </w:rPr>
  </w:style>
  <w:style w:type="paragraph" w:customStyle="1" w:styleId="52">
    <w:name w:val="修订1"/>
    <w:semiHidden/>
    <w:qFormat/>
    <w:uiPriority w:val="99"/>
    <w:rPr>
      <w:rFonts w:ascii="Calibri" w:hAnsi="Calibri" w:eastAsia="宋体" w:cs="Times New Roman"/>
      <w:kern w:val="2"/>
      <w:sz w:val="21"/>
      <w:szCs w:val="22"/>
      <w:lang w:val="en-US" w:eastAsia="zh-CN" w:bidi="ar-SA"/>
    </w:rPr>
  </w:style>
  <w:style w:type="paragraph" w:customStyle="1" w:styleId="53">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54">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5">
    <w:name w:val="题注4"/>
    <w:basedOn w:val="1"/>
    <w:next w:val="8"/>
    <w:qFormat/>
    <w:uiPriority w:val="0"/>
    <w:pPr>
      <w:ind w:left="-132" w:leftChars="-64" w:right="-50" w:rightChars="-50" w:hanging="2"/>
      <w:jc w:val="center"/>
    </w:pPr>
    <w:rPr>
      <w:rFonts w:ascii="Times New Roman" w:hAnsi="Times New Roman"/>
      <w:b/>
      <w:color w:val="FF0000"/>
      <w:szCs w:val="20"/>
      <w:lang w:val="en-GB"/>
    </w:rPr>
  </w:style>
  <w:style w:type="paragraph" w:customStyle="1" w:styleId="56">
    <w:name w:val="样式1"/>
    <w:basedOn w:val="4"/>
    <w:qFormat/>
    <w:uiPriority w:val="0"/>
    <w:pPr>
      <w:overflowPunct w:val="0"/>
      <w:autoSpaceDE w:val="0"/>
      <w:autoSpaceDN w:val="0"/>
      <w:adjustRightInd w:val="0"/>
      <w:ind w:left="567" w:hanging="567"/>
      <w:jc w:val="both"/>
      <w:textAlignment w:val="baseline"/>
    </w:pPr>
    <w:rPr>
      <w:rFonts w:ascii="Times New Roman" w:hAnsi="宋体" w:eastAsia="宋体"/>
      <w:b w:val="0"/>
      <w:kern w:val="16"/>
      <w:sz w:val="24"/>
      <w:szCs w:val="24"/>
    </w:rPr>
  </w:style>
  <w:style w:type="paragraph" w:customStyle="1" w:styleId="57">
    <w:name w:val="正文首行缩进1"/>
    <w:basedOn w:val="11"/>
    <w:qFormat/>
    <w:uiPriority w:val="0"/>
    <w:pPr>
      <w:adjustRightInd w:val="0"/>
      <w:snapToGrid w:val="0"/>
      <w:spacing w:after="0" w:line="560" w:lineRule="atLeast"/>
      <w:ind w:firstLine="420" w:firstLineChars="100"/>
    </w:pPr>
    <w:rPr>
      <w:sz w:val="24"/>
      <w:szCs w:val="24"/>
    </w:rPr>
  </w:style>
  <w:style w:type="paragraph" w:customStyle="1" w:styleId="58">
    <w:name w:val="题注5"/>
    <w:basedOn w:val="1"/>
    <w:next w:val="8"/>
    <w:qFormat/>
    <w:uiPriority w:val="0"/>
    <w:pPr>
      <w:jc w:val="center"/>
    </w:pPr>
    <w:rPr>
      <w:rFonts w:ascii="Times New Roman" w:hAnsi="Times New Roman"/>
      <w:b/>
      <w:color w:val="000000"/>
      <w:sz w:val="24"/>
      <w:szCs w:val="21"/>
    </w:rPr>
  </w:style>
  <w:style w:type="paragraph" w:customStyle="1" w:styleId="59">
    <w:name w:val="正文缩进1"/>
    <w:basedOn w:val="1"/>
    <w:qFormat/>
    <w:uiPriority w:val="0"/>
    <w:pPr>
      <w:spacing w:line="360" w:lineRule="auto"/>
      <w:ind w:firstLine="567"/>
    </w:pPr>
    <w:rPr>
      <w:rFonts w:ascii="宋体" w:eastAsia="微软雅黑"/>
      <w:spacing w:val="10"/>
      <w:sz w:val="28"/>
      <w:szCs w:val="24"/>
    </w:rPr>
  </w:style>
  <w:style w:type="character" w:customStyle="1" w:styleId="60">
    <w:name w:val="正文文本 字符1"/>
    <w:semiHidden/>
    <w:qFormat/>
    <w:uiPriority w:val="99"/>
    <w:rPr>
      <w:kern w:val="2"/>
      <w:sz w:val="21"/>
      <w:szCs w:val="22"/>
    </w:rPr>
  </w:style>
  <w:style w:type="character" w:customStyle="1" w:styleId="61">
    <w:name w:val="批注文字 字符1"/>
    <w:semiHidden/>
    <w:qFormat/>
    <w:uiPriority w:val="0"/>
    <w:rPr>
      <w:kern w:val="2"/>
      <w:sz w:val="21"/>
      <w:szCs w:val="22"/>
    </w:rPr>
  </w:style>
  <w:style w:type="character" w:customStyle="1" w:styleId="62">
    <w:name w:val="批注框文本 字符1"/>
    <w:semiHidden/>
    <w:qFormat/>
    <w:uiPriority w:val="99"/>
    <w:rPr>
      <w:kern w:val="2"/>
      <w:sz w:val="18"/>
      <w:szCs w:val="18"/>
    </w:rPr>
  </w:style>
  <w:style w:type="character" w:customStyle="1" w:styleId="63">
    <w:name w:val="批注主题 字符1"/>
    <w:semiHidden/>
    <w:qFormat/>
    <w:uiPriority w:val="99"/>
    <w:rPr>
      <w:b/>
      <w:bCs/>
      <w:kern w:val="2"/>
      <w:sz w:val="21"/>
      <w:szCs w:val="22"/>
    </w:rPr>
  </w:style>
  <w:style w:type="character" w:customStyle="1" w:styleId="64">
    <w:name w:val="正文文本 3 字符1"/>
    <w:semiHidden/>
    <w:qFormat/>
    <w:uiPriority w:val="99"/>
    <w:rPr>
      <w:kern w:val="2"/>
      <w:sz w:val="16"/>
      <w:szCs w:val="16"/>
    </w:rPr>
  </w:style>
  <w:style w:type="character" w:customStyle="1" w:styleId="65">
    <w:name w:val="纯文本 字符2"/>
    <w:semiHidden/>
    <w:qFormat/>
    <w:uiPriority w:val="99"/>
    <w:rPr>
      <w:rFonts w:ascii="等线" w:hAnsi="Courier New" w:eastAsia="等线" w:cs="Courier New"/>
      <w:kern w:val="2"/>
      <w:sz w:val="21"/>
      <w:szCs w:val="22"/>
    </w:rPr>
  </w:style>
  <w:style w:type="character" w:customStyle="1" w:styleId="66">
    <w:name w:val="访问过的超链接1"/>
    <w:unhideWhenUsed/>
    <w:qFormat/>
    <w:uiPriority w:val="99"/>
    <w:rPr>
      <w:color w:val="800080"/>
      <w:u w:val="single"/>
    </w:rPr>
  </w:style>
  <w:style w:type="character" w:customStyle="1" w:styleId="67">
    <w:name w:val="未处理的提及11"/>
    <w:unhideWhenUsed/>
    <w:qFormat/>
    <w:uiPriority w:val="99"/>
    <w:rPr>
      <w:color w:val="605E5C"/>
      <w:shd w:val="clear" w:color="auto" w:fill="E1DFDD"/>
    </w:rPr>
  </w:style>
  <w:style w:type="paragraph" w:customStyle="1" w:styleId="68">
    <w:name w:val="xl70"/>
    <w:basedOn w:val="1"/>
    <w:qFormat/>
    <w:uiPriority w:val="0"/>
    <w:pPr>
      <w:widowControl/>
      <w:spacing w:before="100" w:beforeAutospacing="1" w:after="100" w:afterAutospacing="1"/>
      <w:jc w:val="center"/>
    </w:pPr>
    <w:rPr>
      <w:rFonts w:ascii="宋体" w:hAnsi="宋体" w:cs="宋体"/>
      <w:kern w:val="0"/>
      <w:sz w:val="22"/>
    </w:rPr>
  </w:style>
  <w:style w:type="paragraph" w:customStyle="1" w:styleId="69">
    <w:name w:val="xl67"/>
    <w:basedOn w:val="1"/>
    <w:qFormat/>
    <w:uiPriority w:val="0"/>
    <w:pPr>
      <w:widowControl/>
      <w:spacing w:before="100" w:beforeAutospacing="1" w:after="100" w:afterAutospacing="1"/>
      <w:jc w:val="left"/>
    </w:pPr>
    <w:rPr>
      <w:rFonts w:ascii="宋体" w:hAnsi="宋体" w:cs="宋体"/>
      <w:kern w:val="0"/>
      <w:sz w:val="22"/>
    </w:rPr>
  </w:style>
  <w:style w:type="paragraph" w:customStyle="1" w:styleId="70">
    <w:name w:val="xl72"/>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2"/>
    </w:rPr>
  </w:style>
  <w:style w:type="paragraph" w:customStyle="1" w:styleId="71">
    <w:name w:val="xl68"/>
    <w:basedOn w:val="1"/>
    <w:qFormat/>
    <w:uiPriority w:val="0"/>
    <w:pPr>
      <w:widowControl/>
      <w:spacing w:before="100" w:beforeAutospacing="1" w:after="100" w:afterAutospacing="1"/>
      <w:jc w:val="center"/>
    </w:pPr>
    <w:rPr>
      <w:rFonts w:ascii="宋体" w:hAnsi="宋体" w:cs="宋体"/>
      <w:kern w:val="0"/>
      <w:sz w:val="22"/>
    </w:rPr>
  </w:style>
  <w:style w:type="paragraph" w:customStyle="1" w:styleId="72">
    <w:name w:val="xl71"/>
    <w:basedOn w:val="1"/>
    <w:qFormat/>
    <w:uiPriority w:val="0"/>
    <w:pPr>
      <w:widowControl/>
      <w:spacing w:before="100" w:beforeAutospacing="1" w:after="100" w:afterAutospacing="1"/>
      <w:jc w:val="left"/>
    </w:pPr>
    <w:rPr>
      <w:rFonts w:ascii="宋体" w:hAnsi="宋体" w:cs="宋体"/>
      <w:kern w:val="0"/>
      <w:sz w:val="22"/>
    </w:rPr>
  </w:style>
  <w:style w:type="paragraph" w:customStyle="1" w:styleId="73">
    <w:name w:val="xl69"/>
    <w:basedOn w:val="1"/>
    <w:qFormat/>
    <w:uiPriority w:val="0"/>
    <w:pPr>
      <w:widowControl/>
      <w:spacing w:before="100" w:beforeAutospacing="1" w:after="100" w:afterAutospacing="1"/>
      <w:jc w:val="left"/>
    </w:pPr>
    <w:rPr>
      <w:rFonts w:ascii="宋体" w:hAnsi="宋体" w:cs="宋体"/>
      <w:kern w:val="0"/>
      <w:sz w:val="22"/>
    </w:rPr>
  </w:style>
  <w:style w:type="paragraph" w:customStyle="1" w:styleId="74">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xl74"/>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2"/>
    </w:rPr>
  </w:style>
  <w:style w:type="paragraph" w:customStyle="1" w:styleId="76">
    <w:name w:val="xl73"/>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2"/>
    </w:rPr>
  </w:style>
  <w:style w:type="paragraph" w:customStyle="1" w:styleId="77">
    <w:name w:val="xl66"/>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78">
    <w:name w:val="xl7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right"/>
      <w:textAlignment w:val="center"/>
    </w:pPr>
    <w:rPr>
      <w:rFonts w:ascii="宋体" w:hAnsi="宋体" w:cs="宋体"/>
      <w:kern w:val="0"/>
      <w:sz w:val="22"/>
    </w:rPr>
  </w:style>
  <w:style w:type="table" w:customStyle="1" w:styleId="79">
    <w:name w:val="网格型1"/>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0">
    <w:name w:val="列表段落1"/>
    <w:basedOn w:val="1"/>
    <w:qFormat/>
    <w:uiPriority w:val="99"/>
    <w:pPr>
      <w:ind w:firstLine="420" w:firstLineChars="200"/>
    </w:pPr>
  </w:style>
  <w:style w:type="character" w:customStyle="1" w:styleId="81">
    <w:name w:val="标题 1 字符"/>
    <w:link w:val="3"/>
    <w:qFormat/>
    <w:uiPriority w:val="9"/>
    <w:rPr>
      <w:b/>
      <w:bCs/>
      <w:kern w:val="44"/>
      <w:sz w:val="44"/>
      <w:szCs w:val="44"/>
    </w:rPr>
  </w:style>
  <w:style w:type="paragraph" w:customStyle="1" w:styleId="82">
    <w:name w:val="Char1"/>
    <w:basedOn w:val="1"/>
    <w:qFormat/>
    <w:uiPriority w:val="0"/>
    <w:rPr>
      <w:rFonts w:ascii="Times New Roman" w:hAnsi="Times New Roman"/>
      <w:szCs w:val="24"/>
    </w:rPr>
  </w:style>
  <w:style w:type="paragraph" w:customStyle="1" w:styleId="83">
    <w:name w:val="List Paragraph"/>
    <w:basedOn w:val="1"/>
    <w:qFormat/>
    <w:uiPriority w:val="99"/>
    <w:pPr>
      <w:ind w:firstLine="420" w:firstLineChars="200"/>
    </w:pPr>
  </w:style>
  <w:style w:type="paragraph" w:customStyle="1" w:styleId="84">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85">
    <w:name w:val="修订2"/>
    <w:hidden/>
    <w:semiHidden/>
    <w:qFormat/>
    <w:uiPriority w:val="99"/>
    <w:rPr>
      <w:rFonts w:ascii="Calibri" w:hAnsi="Calibri" w:eastAsia="宋体" w:cs="Times New Roman"/>
      <w:kern w:val="2"/>
      <w:sz w:val="21"/>
      <w:szCs w:val="22"/>
      <w:lang w:val="en-US" w:eastAsia="zh-CN" w:bidi="ar-SA"/>
    </w:rPr>
  </w:style>
  <w:style w:type="table" w:customStyle="1" w:styleId="86">
    <w:name w:val="网格型2"/>
    <w:basedOn w:val="22"/>
    <w:qFormat/>
    <w:uiPriority w:val="0"/>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
    <w:name w:val="网格型3"/>
    <w:basedOn w:val="22"/>
    <w:qFormat/>
    <w:uiPriority w:val="0"/>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
    <w:name w:val="网格型4"/>
    <w:basedOn w:val="22"/>
    <w:qFormat/>
    <w:uiPriority w:val="39"/>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
    <w:name w:val="网格型5"/>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
    <w:name w:val="网格型6"/>
    <w:basedOn w:val="22"/>
    <w:qFormat/>
    <w:uiPriority w:val="39"/>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1">
    <w:name w:val="修订3"/>
    <w:hidden/>
    <w:unhideWhenUsed/>
    <w:qFormat/>
    <w:uiPriority w:val="99"/>
    <w:rPr>
      <w:rFonts w:ascii="Calibri" w:hAnsi="Calibri" w:eastAsia="宋体" w:cs="Times New Roman"/>
      <w:kern w:val="2"/>
      <w:sz w:val="21"/>
      <w:szCs w:val="22"/>
      <w:lang w:val="en-US" w:eastAsia="zh-CN" w:bidi="ar-SA"/>
    </w:rPr>
  </w:style>
  <w:style w:type="paragraph" w:customStyle="1" w:styleId="92">
    <w:name w:val="修订4"/>
    <w:hidden/>
    <w:unhideWhenUsed/>
    <w:qFormat/>
    <w:uiPriority w:val="99"/>
    <w:rPr>
      <w:rFonts w:ascii="Calibri" w:hAnsi="Calibri" w:eastAsia="宋体" w:cs="Times New Roman"/>
      <w:kern w:val="2"/>
      <w:sz w:val="21"/>
      <w:szCs w:val="22"/>
      <w:lang w:val="en-US" w:eastAsia="zh-CN" w:bidi="ar-SA"/>
    </w:rPr>
  </w:style>
  <w:style w:type="paragraph" w:customStyle="1" w:styleId="93">
    <w:name w:val="修订5"/>
    <w:hidden/>
    <w:unhideWhenUsed/>
    <w:qFormat/>
    <w:uiPriority w:val="99"/>
    <w:rPr>
      <w:rFonts w:ascii="Calibri" w:hAnsi="Calibri" w:eastAsia="宋体" w:cs="Times New Roman"/>
      <w:kern w:val="2"/>
      <w:sz w:val="21"/>
      <w:szCs w:val="22"/>
      <w:lang w:val="en-US" w:eastAsia="zh-CN" w:bidi="ar-SA"/>
    </w:rPr>
  </w:style>
  <w:style w:type="paragraph" w:customStyle="1" w:styleId="94">
    <w:name w:val="修订6"/>
    <w:hidden/>
    <w:semiHidden/>
    <w:qFormat/>
    <w:uiPriority w:val="99"/>
    <w:rPr>
      <w:rFonts w:ascii="Calibri" w:hAnsi="Calibri" w:eastAsia="宋体" w:cs="Times New Roman"/>
      <w:kern w:val="2"/>
      <w:sz w:val="21"/>
      <w:szCs w:val="22"/>
      <w:lang w:val="en-US" w:eastAsia="zh-CN" w:bidi="ar-SA"/>
    </w:rPr>
  </w:style>
  <w:style w:type="paragraph" w:customStyle="1" w:styleId="95">
    <w:name w:val="null3"/>
    <w:hidden/>
    <w:qFormat/>
    <w:uiPriority w:val="0"/>
    <w:rPr>
      <w:rFonts w:hint="eastAsia" w:asciiTheme="minorHAnsi" w:hAnsiTheme="minorHAnsi" w:eastAsiaTheme="minorEastAsia" w:cstheme="minorBidi"/>
      <w:lang w:val="en-US" w:eastAsia="zh-Hans" w:bidi="ar-SA"/>
    </w:rPr>
  </w:style>
  <w:style w:type="paragraph" w:customStyle="1" w:styleId="96">
    <w:name w:val="样式111"/>
    <w:basedOn w:val="1"/>
    <w:qFormat/>
    <w:uiPriority w:val="0"/>
    <w:pPr>
      <w:spacing w:line="365" w:lineRule="auto"/>
      <w:ind w:firstLine="480" w:firstLineChars="200"/>
    </w:pPr>
    <w:rPr>
      <w:rFonts w:hint="eastAsia"/>
      <w:spacing w:val="-7"/>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B64B47-3A72-45E9-8B4F-18D50AAE1233}">
  <ds:schemaRefs/>
</ds:datastoreItem>
</file>

<file path=docProps/app.xml><?xml version="1.0" encoding="utf-8"?>
<Properties xmlns="http://schemas.openxmlformats.org/officeDocument/2006/extended-properties" xmlns:vt="http://schemas.openxmlformats.org/officeDocument/2006/docPropsVTypes">
  <Template>Normal</Template>
  <Company>广州宾馆</Company>
  <Pages>64</Pages>
  <Words>59</Words>
  <Characters>63</Characters>
  <Lines>1574</Lines>
  <Paragraphs>1090</Paragraphs>
  <TotalTime>0</TotalTime>
  <ScaleCrop>false</ScaleCrop>
  <LinksUpToDate>false</LinksUpToDate>
  <CharactersWithSpaces>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2025-10-31T01:10:00Z</dcterms:created>
  <dc:creator>ebidding</dc:creator>
  <cp:lastModifiedBy>咕咚</cp:lastModifiedBy>
  <cp:lastPrinted>2022-05-24T06:49:00Z</cp:lastPrinted>
  <dcterms:modified xsi:type="dcterms:W3CDTF">2025-10-31T04:09:04Z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7082D961003242889FB0BEC91D59A7B0</vt:lpwstr>
  </property>
  <property fmtid="{D5CDD505-2E9C-101B-9397-08002B2CF9AE}" pid="4" name="KSOTemplateDocerSaveRecord">
    <vt:lpwstr>eyJoZGlkIjoiZTk4M2Q4NThmOTdkZWRhYzcxMmJhM2RkM2NmMWM0NjIiLCJ1c2VySWQiOiI1NzgwODgzNzcifQ==</vt:lpwstr>
  </property>
</Properties>
</file>