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B2106">
      <w:pPr>
        <w:spacing w:line="360" w:lineRule="auto"/>
        <w:jc w:val="center"/>
        <w:rPr>
          <w:rFonts w:hint="default" w:ascii="华文中宋" w:hAnsi="华文中宋" w:eastAsia="华文中宋"/>
          <w:color w:val="auto"/>
          <w:sz w:val="40"/>
          <w:szCs w:val="36"/>
          <w:highlight w:val="none"/>
          <w:lang w:val="en-US" w:eastAsia="zh-CN"/>
        </w:rPr>
      </w:pPr>
      <w:bookmarkStart w:id="0" w:name="CurrentPosition"/>
      <w:bookmarkEnd w:id="0"/>
      <w:r>
        <w:rPr>
          <w:rFonts w:hint="eastAsia" w:ascii="华文中宋" w:hAnsi="华文中宋" w:eastAsia="华文中宋"/>
          <w:color w:val="auto"/>
          <w:sz w:val="40"/>
          <w:szCs w:val="36"/>
          <w:highlight w:val="none"/>
          <w:lang w:val="en-US" w:eastAsia="zh-CN"/>
        </w:rPr>
        <w:t xml:space="preserve">  </w:t>
      </w:r>
    </w:p>
    <w:p w14:paraId="078D7FDD">
      <w:pPr>
        <w:spacing w:line="360" w:lineRule="auto"/>
        <w:jc w:val="center"/>
        <w:rPr>
          <w:rFonts w:hint="eastAsia" w:ascii="华文中宋" w:hAnsi="华文中宋" w:eastAsia="华文中宋"/>
          <w:color w:val="auto"/>
          <w:sz w:val="40"/>
          <w:szCs w:val="36"/>
          <w:highlight w:val="none"/>
        </w:rPr>
      </w:pPr>
    </w:p>
    <w:p w14:paraId="234B7FB2">
      <w:pPr>
        <w:spacing w:line="360" w:lineRule="auto"/>
        <w:jc w:val="center"/>
        <w:rPr>
          <w:rFonts w:hint="eastAsia" w:ascii="华文中宋" w:hAnsi="华文中宋" w:eastAsia="华文中宋"/>
          <w:color w:val="auto"/>
          <w:sz w:val="40"/>
          <w:szCs w:val="36"/>
          <w:highlight w:val="none"/>
        </w:rPr>
      </w:pPr>
      <w:r>
        <w:rPr>
          <w:rFonts w:hint="eastAsia" w:ascii="华文中宋" w:hAnsi="华文中宋" w:eastAsia="华文中宋"/>
          <w:color w:val="auto"/>
          <w:sz w:val="40"/>
          <w:szCs w:val="36"/>
          <w:highlight w:val="none"/>
        </w:rPr>
        <w:t>广州工控大湾区现代高端装备研发生产基地项目（三期）宿舍家具采购项目</w:t>
      </w:r>
    </w:p>
    <w:p w14:paraId="014CA450">
      <w:pPr>
        <w:spacing w:line="780" w:lineRule="exact"/>
        <w:jc w:val="center"/>
        <w:rPr>
          <w:rFonts w:hint="eastAsia" w:ascii="华文新魏" w:hAnsi="黑体" w:eastAsia="华文新魏"/>
          <w:b/>
          <w:color w:val="auto"/>
          <w:spacing w:val="20"/>
          <w:kern w:val="10"/>
          <w:sz w:val="56"/>
          <w:szCs w:val="72"/>
          <w:highlight w:val="none"/>
        </w:rPr>
      </w:pPr>
    </w:p>
    <w:p w14:paraId="0874ED4E">
      <w:pPr>
        <w:spacing w:line="780" w:lineRule="exact"/>
        <w:jc w:val="center"/>
        <w:rPr>
          <w:rFonts w:hint="eastAsia" w:ascii="华文中宋" w:hAnsi="华文中宋" w:eastAsia="华文中宋"/>
          <w:b/>
          <w:color w:val="auto"/>
          <w:spacing w:val="20"/>
          <w:kern w:val="10"/>
          <w:sz w:val="72"/>
          <w:szCs w:val="96"/>
          <w:highlight w:val="none"/>
        </w:rPr>
      </w:pPr>
      <w:r>
        <w:rPr>
          <w:rFonts w:hint="eastAsia" w:ascii="华文中宋" w:hAnsi="华文中宋" w:eastAsia="华文中宋"/>
          <w:b/>
          <w:color w:val="auto"/>
          <w:spacing w:val="20"/>
          <w:kern w:val="10"/>
          <w:sz w:val="72"/>
          <w:szCs w:val="96"/>
          <w:highlight w:val="none"/>
        </w:rPr>
        <w:t>招标文件</w:t>
      </w:r>
    </w:p>
    <w:p w14:paraId="5B57818F">
      <w:pPr>
        <w:spacing w:line="780" w:lineRule="exact"/>
        <w:jc w:val="center"/>
        <w:rPr>
          <w:rFonts w:hint="eastAsia" w:ascii="华文新魏" w:hAnsi="黑体" w:eastAsia="华文新魏"/>
          <w:b/>
          <w:color w:val="auto"/>
          <w:spacing w:val="20"/>
          <w:kern w:val="10"/>
          <w:sz w:val="56"/>
          <w:szCs w:val="72"/>
          <w:highlight w:val="none"/>
        </w:rPr>
      </w:pPr>
    </w:p>
    <w:p w14:paraId="3745B5DA">
      <w:pPr>
        <w:spacing w:line="780" w:lineRule="exact"/>
        <w:jc w:val="center"/>
        <w:rPr>
          <w:rFonts w:hint="eastAsia" w:ascii="华文新魏" w:hAnsi="黑体" w:eastAsia="华文新魏"/>
          <w:b/>
          <w:color w:val="auto"/>
          <w:spacing w:val="20"/>
          <w:kern w:val="10"/>
          <w:sz w:val="56"/>
          <w:szCs w:val="72"/>
          <w:highlight w:val="none"/>
        </w:rPr>
      </w:pPr>
    </w:p>
    <w:p w14:paraId="7467B43F">
      <w:pPr>
        <w:spacing w:line="780" w:lineRule="exact"/>
        <w:jc w:val="center"/>
        <w:rPr>
          <w:rFonts w:hint="eastAsia" w:ascii="华文新魏" w:hAnsi="黑体" w:eastAsia="华文新魏"/>
          <w:b/>
          <w:color w:val="auto"/>
          <w:spacing w:val="20"/>
          <w:kern w:val="10"/>
          <w:sz w:val="56"/>
          <w:szCs w:val="72"/>
          <w:highlight w:val="none"/>
        </w:rPr>
      </w:pPr>
    </w:p>
    <w:p w14:paraId="046C8D07">
      <w:pPr>
        <w:spacing w:line="780" w:lineRule="exact"/>
        <w:jc w:val="center"/>
        <w:rPr>
          <w:rFonts w:hint="eastAsia" w:ascii="华文新魏" w:hAnsi="黑体" w:eastAsia="华文新魏"/>
          <w:b/>
          <w:color w:val="auto"/>
          <w:spacing w:val="20"/>
          <w:kern w:val="10"/>
          <w:sz w:val="56"/>
          <w:szCs w:val="72"/>
          <w:highlight w:val="none"/>
        </w:rPr>
      </w:pPr>
    </w:p>
    <w:p w14:paraId="6E291E6E">
      <w:pPr>
        <w:spacing w:line="780" w:lineRule="exact"/>
        <w:jc w:val="both"/>
        <w:rPr>
          <w:rFonts w:hint="eastAsia" w:ascii="华文新魏" w:hAnsi="黑体" w:eastAsia="华文新魏"/>
          <w:b/>
          <w:color w:val="auto"/>
          <w:spacing w:val="20"/>
          <w:kern w:val="10"/>
          <w:sz w:val="56"/>
          <w:szCs w:val="72"/>
          <w:highlight w:val="none"/>
        </w:rPr>
      </w:pPr>
    </w:p>
    <w:p w14:paraId="18D3AD35">
      <w:pPr>
        <w:spacing w:line="780" w:lineRule="exact"/>
        <w:jc w:val="center"/>
        <w:rPr>
          <w:rFonts w:hint="eastAsia" w:ascii="华文新魏" w:hAnsi="黑体" w:eastAsia="华文新魏"/>
          <w:b/>
          <w:color w:val="auto"/>
          <w:spacing w:val="20"/>
          <w:kern w:val="10"/>
          <w:sz w:val="56"/>
          <w:szCs w:val="72"/>
          <w:highlight w:val="none"/>
        </w:rPr>
      </w:pPr>
    </w:p>
    <w:p w14:paraId="643A7519">
      <w:pPr>
        <w:spacing w:line="780" w:lineRule="exact"/>
        <w:jc w:val="center"/>
        <w:rPr>
          <w:rFonts w:hint="eastAsia" w:ascii="华文新魏" w:hAnsi="黑体" w:eastAsia="华文新魏"/>
          <w:b/>
          <w:color w:val="auto"/>
          <w:spacing w:val="20"/>
          <w:kern w:val="10"/>
          <w:sz w:val="56"/>
          <w:szCs w:val="72"/>
          <w:highlight w:val="none"/>
        </w:rPr>
      </w:pPr>
    </w:p>
    <w:p w14:paraId="74923765">
      <w:pPr>
        <w:spacing w:line="780" w:lineRule="exact"/>
        <w:jc w:val="center"/>
        <w:rPr>
          <w:rFonts w:hint="eastAsia" w:ascii="华文新魏" w:hAnsi="黑体" w:eastAsia="华文新魏"/>
          <w:b/>
          <w:color w:val="auto"/>
          <w:spacing w:val="20"/>
          <w:kern w:val="10"/>
          <w:sz w:val="56"/>
          <w:szCs w:val="72"/>
          <w:highlight w:val="none"/>
        </w:rPr>
      </w:pPr>
    </w:p>
    <w:p w14:paraId="0BE3F970">
      <w:pPr>
        <w:spacing w:line="360" w:lineRule="auto"/>
        <w:jc w:val="center"/>
        <w:rPr>
          <w:rFonts w:hint="eastAsia" w:ascii="华文中宋" w:hAnsi="华文中宋" w:eastAsia="华文中宋"/>
          <w:color w:val="auto"/>
          <w:sz w:val="40"/>
          <w:szCs w:val="36"/>
          <w:highlight w:val="none"/>
        </w:rPr>
      </w:pPr>
      <w:r>
        <w:rPr>
          <w:rFonts w:hint="eastAsia" w:ascii="华文中宋" w:hAnsi="华文中宋" w:eastAsia="华文中宋"/>
          <w:color w:val="auto"/>
          <w:sz w:val="40"/>
          <w:szCs w:val="36"/>
          <w:highlight w:val="none"/>
          <w:lang w:val="en-US" w:eastAsia="zh-CN"/>
        </w:rPr>
        <w:t>招标人：广州工控智能装备产业有限公司</w:t>
      </w:r>
    </w:p>
    <w:p w14:paraId="0316D020">
      <w:pPr>
        <w:spacing w:line="360" w:lineRule="auto"/>
        <w:jc w:val="center"/>
        <w:rPr>
          <w:rFonts w:hint="eastAsia" w:ascii="华文中宋" w:hAnsi="华文中宋" w:eastAsia="华文中宋"/>
          <w:color w:val="auto"/>
          <w:sz w:val="40"/>
          <w:szCs w:val="36"/>
          <w:highlight w:val="none"/>
          <w:lang w:val="en-US" w:eastAsia="zh-CN"/>
        </w:rPr>
      </w:pPr>
      <w:r>
        <w:rPr>
          <w:rFonts w:hint="eastAsia" w:ascii="华文中宋" w:hAnsi="华文中宋" w:eastAsia="华文中宋"/>
          <w:color w:val="auto"/>
          <w:sz w:val="40"/>
          <w:szCs w:val="36"/>
          <w:highlight w:val="none"/>
          <w:lang w:val="en-US" w:eastAsia="zh-CN"/>
        </w:rPr>
        <w:t>2025年10</w:t>
      </w:r>
      <w:bookmarkStart w:id="49" w:name="_GoBack"/>
      <w:bookmarkEnd w:id="49"/>
      <w:r>
        <w:rPr>
          <w:rFonts w:hint="eastAsia" w:ascii="华文中宋" w:hAnsi="华文中宋" w:eastAsia="华文中宋"/>
          <w:color w:val="auto"/>
          <w:sz w:val="40"/>
          <w:szCs w:val="36"/>
          <w:highlight w:val="none"/>
          <w:lang w:val="en-US" w:eastAsia="zh-CN"/>
        </w:rPr>
        <w:t>月</w:t>
      </w:r>
    </w:p>
    <w:p w14:paraId="3DB93DD4">
      <w:pPr>
        <w:spacing w:line="780" w:lineRule="exact"/>
        <w:jc w:val="both"/>
        <w:rPr>
          <w:rFonts w:eastAsia="黑体"/>
          <w:b/>
          <w:color w:val="auto"/>
          <w:sz w:val="44"/>
          <w:szCs w:val="44"/>
          <w:highlight w:val="none"/>
        </w:rPr>
      </w:pPr>
      <w:r>
        <w:rPr>
          <w:rFonts w:eastAsia="黑体"/>
          <w:b/>
          <w:color w:val="auto"/>
          <w:sz w:val="44"/>
          <w:szCs w:val="44"/>
          <w:highlight w:val="none"/>
        </w:rPr>
        <w:br w:type="page"/>
      </w:r>
    </w:p>
    <w:p w14:paraId="69719D77">
      <w:pPr>
        <w:spacing w:line="360" w:lineRule="auto"/>
        <w:jc w:val="center"/>
        <w:rPr>
          <w:rFonts w:eastAsia="黑体"/>
          <w:b/>
          <w:color w:val="auto"/>
          <w:sz w:val="36"/>
          <w:szCs w:val="36"/>
          <w:highlight w:val="none"/>
        </w:rPr>
      </w:pPr>
    </w:p>
    <w:p w14:paraId="628E4053">
      <w:pPr>
        <w:spacing w:line="480" w:lineRule="exact"/>
        <w:jc w:val="center"/>
        <w:outlineLvl w:val="0"/>
        <w:rPr>
          <w:rFonts w:eastAsia="黑体"/>
          <w:b/>
          <w:color w:val="auto"/>
          <w:sz w:val="44"/>
          <w:highlight w:val="none"/>
        </w:rPr>
      </w:pPr>
      <w:r>
        <w:rPr>
          <w:rFonts w:hint="eastAsia" w:eastAsia="黑体"/>
          <w:b/>
          <w:color w:val="auto"/>
          <w:sz w:val="44"/>
          <w:highlight w:val="none"/>
        </w:rPr>
        <w:t>目   录</w:t>
      </w:r>
    </w:p>
    <w:p w14:paraId="31A60EB4">
      <w:pPr>
        <w:spacing w:line="360" w:lineRule="auto"/>
        <w:jc w:val="center"/>
        <w:rPr>
          <w:rFonts w:eastAsia="黑体"/>
          <w:b/>
          <w:color w:val="auto"/>
          <w:sz w:val="36"/>
          <w:szCs w:val="36"/>
          <w:highlight w:val="none"/>
        </w:rPr>
      </w:pPr>
    </w:p>
    <w:p w14:paraId="41603E9E">
      <w:pPr>
        <w:spacing w:line="360" w:lineRule="auto"/>
        <w:ind w:left="1079" w:leftChars="514" w:firstLine="1260" w:firstLineChars="350"/>
        <w:rPr>
          <w:rFonts w:eastAsia="黑体"/>
          <w:color w:val="auto"/>
          <w:sz w:val="36"/>
          <w:szCs w:val="36"/>
          <w:highlight w:val="none"/>
        </w:rPr>
      </w:pPr>
      <w:r>
        <w:rPr>
          <w:rFonts w:hint="eastAsia" w:eastAsia="黑体"/>
          <w:color w:val="auto"/>
          <w:sz w:val="36"/>
          <w:szCs w:val="36"/>
          <w:highlight w:val="none"/>
        </w:rPr>
        <w:t>第一部分     招标公告</w:t>
      </w:r>
    </w:p>
    <w:p w14:paraId="703C6256">
      <w:pPr>
        <w:spacing w:line="360" w:lineRule="auto"/>
        <w:ind w:left="1079" w:leftChars="514" w:firstLine="1260" w:firstLineChars="350"/>
        <w:rPr>
          <w:rFonts w:eastAsia="黑体"/>
          <w:color w:val="auto"/>
          <w:sz w:val="36"/>
          <w:szCs w:val="36"/>
          <w:highlight w:val="none"/>
        </w:rPr>
      </w:pPr>
      <w:r>
        <w:rPr>
          <w:rFonts w:hint="eastAsia" w:eastAsia="黑体"/>
          <w:color w:val="auto"/>
          <w:sz w:val="36"/>
          <w:szCs w:val="36"/>
          <w:highlight w:val="none"/>
        </w:rPr>
        <w:t xml:space="preserve">第二部分     </w:t>
      </w:r>
      <w:r>
        <w:rPr>
          <w:rFonts w:hint="eastAsia" w:ascii="黑体" w:eastAsia="黑体"/>
          <w:color w:val="auto"/>
          <w:sz w:val="36"/>
          <w:szCs w:val="36"/>
          <w:highlight w:val="none"/>
        </w:rPr>
        <w:t>用户需求书</w:t>
      </w:r>
    </w:p>
    <w:p w14:paraId="7BE8661F">
      <w:pPr>
        <w:spacing w:line="360" w:lineRule="auto"/>
        <w:ind w:left="1079" w:leftChars="514" w:firstLine="1260" w:firstLineChars="350"/>
        <w:rPr>
          <w:rFonts w:eastAsia="黑体"/>
          <w:color w:val="auto"/>
          <w:sz w:val="36"/>
          <w:szCs w:val="36"/>
          <w:highlight w:val="none"/>
        </w:rPr>
      </w:pPr>
      <w:r>
        <w:rPr>
          <w:rFonts w:hint="eastAsia" w:eastAsia="黑体"/>
          <w:color w:val="auto"/>
          <w:sz w:val="36"/>
          <w:szCs w:val="36"/>
          <w:highlight w:val="none"/>
        </w:rPr>
        <w:t>第三部分     投标人须知</w:t>
      </w:r>
    </w:p>
    <w:p w14:paraId="416E1F9C">
      <w:pPr>
        <w:spacing w:line="360" w:lineRule="auto"/>
        <w:ind w:left="1079" w:leftChars="514" w:firstLine="1260" w:firstLineChars="350"/>
        <w:rPr>
          <w:rFonts w:eastAsia="黑体"/>
          <w:color w:val="auto"/>
          <w:sz w:val="36"/>
          <w:szCs w:val="36"/>
          <w:highlight w:val="none"/>
        </w:rPr>
      </w:pPr>
      <w:r>
        <w:rPr>
          <w:rFonts w:hint="eastAsia" w:eastAsia="黑体"/>
          <w:color w:val="auto"/>
          <w:sz w:val="36"/>
          <w:szCs w:val="36"/>
          <w:highlight w:val="none"/>
        </w:rPr>
        <w:t xml:space="preserve">第四部分     </w:t>
      </w:r>
      <w:r>
        <w:rPr>
          <w:rFonts w:eastAsia="黑体"/>
          <w:color w:val="auto"/>
          <w:sz w:val="36"/>
          <w:szCs w:val="36"/>
          <w:highlight w:val="none"/>
        </w:rPr>
        <w:t>评标</w:t>
      </w:r>
      <w:r>
        <w:rPr>
          <w:rFonts w:hint="eastAsia" w:eastAsia="黑体"/>
          <w:color w:val="auto"/>
          <w:sz w:val="36"/>
          <w:szCs w:val="36"/>
          <w:highlight w:val="none"/>
        </w:rPr>
        <w:t>方</w:t>
      </w:r>
      <w:r>
        <w:rPr>
          <w:rFonts w:eastAsia="黑体"/>
          <w:color w:val="auto"/>
          <w:sz w:val="36"/>
          <w:szCs w:val="36"/>
          <w:highlight w:val="none"/>
        </w:rPr>
        <w:t>法</w:t>
      </w:r>
    </w:p>
    <w:p w14:paraId="4424A05C">
      <w:pPr>
        <w:spacing w:line="360" w:lineRule="auto"/>
        <w:ind w:left="1079" w:leftChars="514" w:firstLine="1260" w:firstLineChars="350"/>
        <w:rPr>
          <w:rFonts w:eastAsia="黑体"/>
          <w:color w:val="auto"/>
          <w:sz w:val="36"/>
          <w:szCs w:val="36"/>
          <w:highlight w:val="none"/>
        </w:rPr>
      </w:pPr>
      <w:r>
        <w:rPr>
          <w:rFonts w:hint="eastAsia" w:eastAsia="黑体"/>
          <w:color w:val="auto"/>
          <w:sz w:val="36"/>
          <w:szCs w:val="36"/>
          <w:highlight w:val="none"/>
        </w:rPr>
        <w:t>第五部分     合同书格式</w:t>
      </w:r>
    </w:p>
    <w:p w14:paraId="7754235D">
      <w:pPr>
        <w:spacing w:line="360" w:lineRule="auto"/>
        <w:ind w:left="1079" w:leftChars="514" w:firstLine="1260" w:firstLineChars="350"/>
        <w:rPr>
          <w:rFonts w:eastAsia="黑体"/>
          <w:color w:val="auto"/>
          <w:sz w:val="36"/>
          <w:szCs w:val="36"/>
          <w:highlight w:val="none"/>
        </w:rPr>
      </w:pPr>
      <w:r>
        <w:rPr>
          <w:rFonts w:eastAsia="黑体"/>
          <w:color w:val="auto"/>
          <w:sz w:val="36"/>
          <w:szCs w:val="36"/>
          <w:highlight w:val="none"/>
        </w:rPr>
        <w:t xml:space="preserve">第六部分   </w:t>
      </w:r>
      <w:r>
        <w:rPr>
          <w:rFonts w:hint="eastAsia" w:eastAsia="黑体"/>
          <w:color w:val="auto"/>
          <w:sz w:val="36"/>
          <w:szCs w:val="36"/>
          <w:highlight w:val="none"/>
        </w:rPr>
        <w:t xml:space="preserve">  投标文件格式</w:t>
      </w:r>
    </w:p>
    <w:p w14:paraId="1073BD81">
      <w:pPr>
        <w:spacing w:line="360" w:lineRule="auto"/>
        <w:ind w:left="1079" w:leftChars="514" w:firstLine="1260" w:firstLineChars="350"/>
        <w:rPr>
          <w:rFonts w:eastAsia="黑体"/>
          <w:color w:val="auto"/>
          <w:sz w:val="36"/>
          <w:szCs w:val="36"/>
          <w:highlight w:val="none"/>
        </w:rPr>
      </w:pPr>
    </w:p>
    <w:p w14:paraId="134F550E">
      <w:pPr>
        <w:spacing w:line="360" w:lineRule="auto"/>
        <w:ind w:left="1079" w:leftChars="514" w:firstLine="1260" w:firstLineChars="350"/>
        <w:rPr>
          <w:rFonts w:eastAsia="黑体"/>
          <w:color w:val="auto"/>
          <w:sz w:val="36"/>
          <w:szCs w:val="36"/>
          <w:highlight w:val="none"/>
        </w:rPr>
      </w:pPr>
    </w:p>
    <w:p w14:paraId="54AA1B97">
      <w:pPr>
        <w:spacing w:line="360" w:lineRule="auto"/>
        <w:ind w:firstLine="480" w:firstLineChars="200"/>
        <w:rPr>
          <w:color w:val="auto"/>
          <w:sz w:val="24"/>
          <w:highlight w:val="none"/>
        </w:rPr>
      </w:pPr>
    </w:p>
    <w:p w14:paraId="6861A95C">
      <w:pPr>
        <w:spacing w:line="480" w:lineRule="exact"/>
        <w:jc w:val="center"/>
        <w:rPr>
          <w:rFonts w:eastAsia="黑体"/>
          <w:b/>
          <w:color w:val="auto"/>
          <w:sz w:val="44"/>
          <w:highlight w:val="none"/>
        </w:rPr>
      </w:pPr>
      <w:r>
        <w:rPr>
          <w:color w:val="auto"/>
          <w:sz w:val="24"/>
          <w:szCs w:val="24"/>
          <w:highlight w:val="none"/>
        </w:rPr>
        <w:br w:type="page"/>
      </w:r>
    </w:p>
    <w:p w14:paraId="602C85CA">
      <w:pPr>
        <w:spacing w:line="480" w:lineRule="exact"/>
        <w:jc w:val="center"/>
        <w:rPr>
          <w:rFonts w:eastAsia="黑体"/>
          <w:b/>
          <w:color w:val="auto"/>
          <w:sz w:val="44"/>
          <w:highlight w:val="none"/>
        </w:rPr>
      </w:pPr>
    </w:p>
    <w:p w14:paraId="63E1B2E9">
      <w:pPr>
        <w:spacing w:line="480" w:lineRule="exact"/>
        <w:jc w:val="center"/>
        <w:rPr>
          <w:rFonts w:eastAsia="黑体"/>
          <w:b/>
          <w:color w:val="auto"/>
          <w:sz w:val="44"/>
          <w:highlight w:val="none"/>
        </w:rPr>
      </w:pPr>
    </w:p>
    <w:p w14:paraId="5ADB4F6A">
      <w:pPr>
        <w:spacing w:line="480" w:lineRule="exact"/>
        <w:jc w:val="center"/>
        <w:rPr>
          <w:rFonts w:eastAsia="黑体"/>
          <w:b/>
          <w:color w:val="auto"/>
          <w:sz w:val="44"/>
          <w:highlight w:val="none"/>
        </w:rPr>
      </w:pPr>
    </w:p>
    <w:p w14:paraId="0348C00D">
      <w:pPr>
        <w:spacing w:line="480" w:lineRule="exact"/>
        <w:jc w:val="center"/>
        <w:rPr>
          <w:rFonts w:eastAsia="黑体"/>
          <w:b/>
          <w:color w:val="auto"/>
          <w:sz w:val="44"/>
          <w:highlight w:val="none"/>
        </w:rPr>
      </w:pPr>
    </w:p>
    <w:p w14:paraId="6FAEC8F5">
      <w:pPr>
        <w:spacing w:line="480" w:lineRule="exact"/>
        <w:jc w:val="center"/>
        <w:rPr>
          <w:rFonts w:eastAsia="黑体"/>
          <w:b/>
          <w:color w:val="auto"/>
          <w:sz w:val="44"/>
          <w:highlight w:val="none"/>
        </w:rPr>
      </w:pPr>
    </w:p>
    <w:p w14:paraId="0BC8F44C">
      <w:pPr>
        <w:spacing w:line="480" w:lineRule="exact"/>
        <w:jc w:val="center"/>
        <w:rPr>
          <w:rFonts w:eastAsia="黑体"/>
          <w:b/>
          <w:color w:val="auto"/>
          <w:sz w:val="44"/>
          <w:highlight w:val="none"/>
        </w:rPr>
      </w:pPr>
    </w:p>
    <w:p w14:paraId="42E6B3D0">
      <w:pPr>
        <w:spacing w:line="480" w:lineRule="exact"/>
        <w:jc w:val="center"/>
        <w:rPr>
          <w:rFonts w:eastAsia="黑体"/>
          <w:b/>
          <w:color w:val="auto"/>
          <w:sz w:val="44"/>
          <w:highlight w:val="none"/>
        </w:rPr>
      </w:pPr>
    </w:p>
    <w:p w14:paraId="0959B50A">
      <w:pPr>
        <w:spacing w:line="480" w:lineRule="exact"/>
        <w:jc w:val="center"/>
        <w:rPr>
          <w:rFonts w:eastAsia="黑体"/>
          <w:b/>
          <w:color w:val="auto"/>
          <w:sz w:val="44"/>
          <w:highlight w:val="none"/>
        </w:rPr>
      </w:pPr>
    </w:p>
    <w:p w14:paraId="6CE03FB4">
      <w:pPr>
        <w:spacing w:line="480" w:lineRule="exact"/>
        <w:jc w:val="center"/>
        <w:rPr>
          <w:rFonts w:eastAsia="黑体"/>
          <w:b/>
          <w:color w:val="auto"/>
          <w:sz w:val="44"/>
          <w:highlight w:val="none"/>
        </w:rPr>
      </w:pPr>
    </w:p>
    <w:p w14:paraId="66E11B95">
      <w:pPr>
        <w:spacing w:line="480" w:lineRule="exact"/>
        <w:jc w:val="center"/>
        <w:rPr>
          <w:rFonts w:eastAsia="黑体"/>
          <w:b/>
          <w:color w:val="auto"/>
          <w:sz w:val="44"/>
          <w:highlight w:val="none"/>
        </w:rPr>
      </w:pPr>
    </w:p>
    <w:p w14:paraId="19A8812E">
      <w:pPr>
        <w:spacing w:line="480" w:lineRule="exact"/>
        <w:jc w:val="center"/>
        <w:rPr>
          <w:rFonts w:eastAsia="黑体"/>
          <w:b/>
          <w:color w:val="auto"/>
          <w:sz w:val="44"/>
          <w:highlight w:val="none"/>
        </w:rPr>
      </w:pPr>
    </w:p>
    <w:p w14:paraId="29DC38DD">
      <w:pPr>
        <w:spacing w:line="480" w:lineRule="exact"/>
        <w:jc w:val="center"/>
        <w:rPr>
          <w:rFonts w:eastAsia="黑体"/>
          <w:b/>
          <w:color w:val="auto"/>
          <w:sz w:val="44"/>
          <w:highlight w:val="none"/>
        </w:rPr>
      </w:pPr>
    </w:p>
    <w:p w14:paraId="6AA46E02">
      <w:pPr>
        <w:spacing w:line="480" w:lineRule="exact"/>
        <w:jc w:val="center"/>
        <w:outlineLvl w:val="0"/>
        <w:rPr>
          <w:rFonts w:eastAsia="黑体"/>
          <w:b/>
          <w:color w:val="auto"/>
          <w:sz w:val="44"/>
          <w:highlight w:val="none"/>
        </w:rPr>
      </w:pPr>
      <w:r>
        <w:rPr>
          <w:rFonts w:hint="eastAsia" w:eastAsia="黑体"/>
          <w:b/>
          <w:color w:val="auto"/>
          <w:sz w:val="44"/>
          <w:highlight w:val="none"/>
        </w:rPr>
        <w:t xml:space="preserve">第一部分 </w:t>
      </w:r>
      <w:r>
        <w:rPr>
          <w:rFonts w:eastAsia="黑体"/>
          <w:b/>
          <w:color w:val="auto"/>
          <w:sz w:val="44"/>
          <w:highlight w:val="none"/>
        </w:rPr>
        <w:t xml:space="preserve"> </w:t>
      </w:r>
      <w:r>
        <w:rPr>
          <w:rFonts w:hint="eastAsia" w:eastAsia="黑体"/>
          <w:b/>
          <w:color w:val="auto"/>
          <w:sz w:val="44"/>
          <w:highlight w:val="none"/>
        </w:rPr>
        <w:t>招标公告</w:t>
      </w:r>
    </w:p>
    <w:p w14:paraId="0D9A949F">
      <w:pPr>
        <w:snapToGrid w:val="0"/>
        <w:spacing w:line="240" w:lineRule="auto"/>
        <w:jc w:val="center"/>
        <w:rPr>
          <w:rFonts w:hint="eastAsia" w:ascii="宋体" w:hAnsi="宋体" w:eastAsia="宋体" w:cs="Times New Roman"/>
          <w:b/>
          <w:color w:val="auto"/>
          <w:kern w:val="28"/>
          <w:sz w:val="36"/>
          <w:szCs w:val="36"/>
          <w:highlight w:val="none"/>
          <w:lang w:val="en-US" w:eastAsia="zh-CN"/>
        </w:rPr>
      </w:pPr>
      <w:r>
        <w:rPr>
          <w:color w:val="auto"/>
          <w:sz w:val="24"/>
          <w:highlight w:val="none"/>
        </w:rPr>
        <w:br w:type="page"/>
      </w:r>
      <w:r>
        <w:rPr>
          <w:rFonts w:hint="eastAsia" w:ascii="宋体" w:hAnsi="宋体" w:eastAsia="宋体" w:cs="Times New Roman"/>
          <w:b/>
          <w:color w:val="auto"/>
          <w:kern w:val="28"/>
          <w:sz w:val="36"/>
          <w:szCs w:val="36"/>
          <w:highlight w:val="none"/>
          <w:lang w:val="en-US" w:eastAsia="zh-CN"/>
        </w:rPr>
        <w:t>广州工控大湾区现代高端装备研发生产基地项目</w:t>
      </w:r>
    </w:p>
    <w:p w14:paraId="060F4873">
      <w:pPr>
        <w:snapToGrid w:val="0"/>
        <w:spacing w:line="240" w:lineRule="auto"/>
        <w:jc w:val="center"/>
        <w:rPr>
          <w:rFonts w:hint="eastAsia" w:ascii="宋体" w:hAnsi="宋体"/>
          <w:b/>
          <w:color w:val="auto"/>
          <w:kern w:val="28"/>
          <w:sz w:val="36"/>
          <w:szCs w:val="36"/>
          <w:highlight w:val="none"/>
        </w:rPr>
      </w:pPr>
      <w:r>
        <w:rPr>
          <w:rFonts w:hint="eastAsia" w:ascii="宋体" w:hAnsi="宋体" w:eastAsia="宋体" w:cs="Times New Roman"/>
          <w:b/>
          <w:color w:val="auto"/>
          <w:kern w:val="28"/>
          <w:sz w:val="36"/>
          <w:szCs w:val="36"/>
          <w:highlight w:val="none"/>
          <w:lang w:val="en-US" w:eastAsia="zh-CN"/>
        </w:rPr>
        <w:t>（三期）宿舍家具采购项目</w:t>
      </w:r>
      <w:r>
        <w:rPr>
          <w:rFonts w:hint="eastAsia" w:ascii="宋体" w:hAnsi="宋体" w:eastAsia="宋体" w:cs="Times New Roman"/>
          <w:b/>
          <w:color w:val="auto"/>
          <w:kern w:val="28"/>
          <w:sz w:val="36"/>
          <w:szCs w:val="36"/>
          <w:highlight w:val="none"/>
        </w:rPr>
        <w:t>招</w:t>
      </w:r>
      <w:r>
        <w:rPr>
          <w:rFonts w:hint="eastAsia" w:ascii="宋体" w:hAnsi="宋体"/>
          <w:b/>
          <w:color w:val="auto"/>
          <w:kern w:val="28"/>
          <w:sz w:val="36"/>
          <w:szCs w:val="36"/>
          <w:highlight w:val="none"/>
        </w:rPr>
        <w:t>标公告</w:t>
      </w:r>
    </w:p>
    <w:p w14:paraId="3B1926C1">
      <w:pPr>
        <w:snapToGrid w:val="0"/>
        <w:spacing w:line="360" w:lineRule="auto"/>
        <w:ind w:firstLine="514" w:firstLineChars="245"/>
        <w:rPr>
          <w:rFonts w:hint="eastAsia" w:ascii="宋体" w:hAnsi="宋体"/>
          <w:color w:val="auto"/>
          <w:szCs w:val="21"/>
          <w:highlight w:val="none"/>
          <w:lang w:val="en-US" w:eastAsia="zh-CN"/>
        </w:rPr>
      </w:pPr>
      <w:bookmarkStart w:id="1" w:name="_Hlk160808955"/>
    </w:p>
    <w:p w14:paraId="184F2F03">
      <w:pPr>
        <w:snapToGrid w:val="0"/>
        <w:spacing w:line="360" w:lineRule="auto"/>
        <w:ind w:firstLine="514" w:firstLineChars="245"/>
        <w:rPr>
          <w:rFonts w:hint="eastAsia" w:ascii="宋体" w:hAnsi="宋体"/>
          <w:color w:val="auto"/>
          <w:kern w:val="28"/>
          <w:highlight w:val="none"/>
        </w:rPr>
      </w:pPr>
      <w:r>
        <w:rPr>
          <w:rFonts w:hint="eastAsia" w:ascii="宋体" w:hAnsi="宋体"/>
          <w:color w:val="auto"/>
          <w:szCs w:val="21"/>
          <w:highlight w:val="none"/>
          <w:lang w:val="en-US" w:eastAsia="zh-CN"/>
        </w:rPr>
        <w:t>广州广重企业集团有限公司（招标人）受广州工控智能装备产业有限公司（采购人）委托，就广州工控大湾区现代高端装备研发生产基地项目（三期）宿舍家具采购项目（招标编号：广重招2025-38A号）进行公开招标，现诚请有能力提供合格货物及服务的供应商参加本项目的投标。</w:t>
      </w:r>
      <w:r>
        <w:rPr>
          <w:rFonts w:hint="eastAsia" w:ascii="宋体" w:hAnsi="宋体"/>
          <w:color w:val="auto"/>
          <w:kern w:val="28"/>
          <w:highlight w:val="none"/>
        </w:rPr>
        <w:t>相关事宜通知如下：</w:t>
      </w:r>
    </w:p>
    <w:p w14:paraId="3F8E1DA6">
      <w:pPr>
        <w:snapToGrid w:val="0"/>
        <w:spacing w:line="360" w:lineRule="auto"/>
        <w:rPr>
          <w:rFonts w:hint="eastAsia" w:ascii="宋体" w:hAnsi="宋体" w:cs="宋体"/>
          <w:color w:val="auto"/>
          <w:kern w:val="28"/>
          <w:highlight w:val="none"/>
        </w:rPr>
      </w:pPr>
    </w:p>
    <w:p w14:paraId="5198B8D8">
      <w:pPr>
        <w:snapToGrid w:val="0"/>
        <w:spacing w:line="360" w:lineRule="auto"/>
        <w:rPr>
          <w:rFonts w:hint="eastAsia" w:ascii="宋体" w:hAnsi="宋体"/>
          <w:b/>
          <w:bCs/>
          <w:color w:val="auto"/>
          <w:kern w:val="28"/>
          <w:highlight w:val="none"/>
        </w:rPr>
      </w:pPr>
      <w:r>
        <w:rPr>
          <w:rFonts w:hint="eastAsia" w:ascii="宋体" w:hAnsi="宋体"/>
          <w:b/>
          <w:bCs/>
          <w:color w:val="auto"/>
          <w:kern w:val="28"/>
          <w:highlight w:val="none"/>
        </w:rPr>
        <w:t>一、项目内容及需求</w:t>
      </w:r>
    </w:p>
    <w:p w14:paraId="45BBADE4">
      <w:pPr>
        <w:snapToGrid w:val="0"/>
        <w:spacing w:line="360" w:lineRule="auto"/>
        <w:rPr>
          <w:rFonts w:hint="eastAsia" w:ascii="宋体" w:hAnsi="宋体"/>
          <w:color w:val="auto"/>
          <w:kern w:val="28"/>
          <w:szCs w:val="21"/>
          <w:highlight w:val="none"/>
        </w:rPr>
      </w:pPr>
      <w:r>
        <w:rPr>
          <w:rFonts w:hint="eastAsia" w:ascii="宋体" w:hAnsi="宋体"/>
          <w:color w:val="auto"/>
          <w:szCs w:val="21"/>
          <w:highlight w:val="none"/>
          <w:lang w:eastAsia="zh-CN"/>
        </w:rPr>
        <w:t>项目名称</w:t>
      </w:r>
      <w:r>
        <w:rPr>
          <w:rFonts w:hint="eastAsia" w:ascii="宋体" w:hAnsi="宋体"/>
          <w:color w:val="auto"/>
          <w:szCs w:val="21"/>
          <w:highlight w:val="none"/>
        </w:rPr>
        <w:t>：</w:t>
      </w:r>
      <w:r>
        <w:rPr>
          <w:rFonts w:hint="eastAsia" w:ascii="宋体" w:hAnsi="宋体" w:eastAsia="宋体"/>
          <w:color w:val="auto"/>
          <w:kern w:val="28"/>
          <w:highlight w:val="none"/>
          <w:u w:val="none"/>
        </w:rPr>
        <w:t>广州工控大湾区现代高端装备研发生产基地项目（三期）宿舍家具采购项目</w:t>
      </w:r>
    </w:p>
    <w:p w14:paraId="047F7E7E">
      <w:pPr>
        <w:snapToGrid w:val="0"/>
        <w:spacing w:line="360" w:lineRule="auto"/>
        <w:rPr>
          <w:rFonts w:hint="eastAsia" w:ascii="宋体" w:hAnsi="宋体" w:eastAsia="宋体"/>
          <w:color w:val="auto"/>
          <w:kern w:val="28"/>
          <w:highlight w:val="none"/>
          <w:u w:val="none"/>
        </w:rPr>
      </w:pPr>
      <w:r>
        <w:rPr>
          <w:rFonts w:hint="eastAsia" w:ascii="宋体" w:hAnsi="宋体" w:eastAsia="宋体"/>
          <w:color w:val="auto"/>
          <w:kern w:val="28"/>
          <w:highlight w:val="none"/>
          <w:u w:val="none"/>
        </w:rPr>
        <w:t>资金来源：企业自筹</w:t>
      </w:r>
    </w:p>
    <w:p w14:paraId="565F775D">
      <w:pPr>
        <w:snapToGrid w:val="0"/>
        <w:spacing w:line="360" w:lineRule="auto"/>
        <w:rPr>
          <w:rFonts w:hint="eastAsia" w:ascii="宋体" w:hAnsi="宋体" w:eastAsia="宋体"/>
          <w:color w:val="auto"/>
          <w:kern w:val="28"/>
          <w:highlight w:val="none"/>
          <w:u w:val="none"/>
        </w:rPr>
      </w:pPr>
      <w:r>
        <w:rPr>
          <w:rFonts w:hint="eastAsia" w:ascii="宋体" w:hAnsi="宋体" w:eastAsia="宋体"/>
          <w:color w:val="auto"/>
          <w:kern w:val="28"/>
          <w:highlight w:val="none"/>
          <w:u w:val="none"/>
        </w:rPr>
        <w:t>项目地点：广东省广州市南沙区大岗镇潭新公路362号</w:t>
      </w:r>
    </w:p>
    <w:p w14:paraId="58D41057">
      <w:pPr>
        <w:snapToGrid w:val="0"/>
        <w:spacing w:line="360" w:lineRule="auto"/>
        <w:rPr>
          <w:rFonts w:hint="eastAsia" w:ascii="宋体" w:hAnsi="宋体" w:eastAsia="宋体"/>
          <w:color w:val="auto"/>
          <w:kern w:val="28"/>
          <w:highlight w:val="none"/>
          <w:u w:val="none"/>
        </w:rPr>
      </w:pPr>
      <w:r>
        <w:rPr>
          <w:rFonts w:hint="eastAsia" w:ascii="宋体" w:hAnsi="宋体" w:eastAsia="宋体"/>
          <w:color w:val="auto"/>
          <w:kern w:val="28"/>
          <w:highlight w:val="none"/>
          <w:u w:val="none"/>
        </w:rPr>
        <w:t>交货期：本项目总工期为</w:t>
      </w:r>
      <w:r>
        <w:rPr>
          <w:rFonts w:hint="eastAsia" w:ascii="宋体" w:hAnsi="宋体" w:eastAsia="宋体"/>
          <w:color w:val="auto"/>
          <w:kern w:val="28"/>
          <w:highlight w:val="none"/>
          <w:u w:val="none"/>
          <w:lang w:val="en-US" w:eastAsia="zh-CN"/>
        </w:rPr>
        <w:t>30</w:t>
      </w:r>
      <w:r>
        <w:rPr>
          <w:rFonts w:hint="eastAsia" w:ascii="宋体" w:hAnsi="宋体" w:eastAsia="宋体"/>
          <w:color w:val="auto"/>
          <w:kern w:val="28"/>
          <w:highlight w:val="none"/>
          <w:u w:val="none"/>
        </w:rPr>
        <w:t>天</w:t>
      </w:r>
      <w:r>
        <w:rPr>
          <w:rFonts w:hint="eastAsia" w:ascii="宋体" w:hAnsi="宋体"/>
          <w:color w:val="auto"/>
          <w:kern w:val="28"/>
          <w:highlight w:val="none"/>
          <w:u w:val="none"/>
          <w:lang w:eastAsia="zh-CN"/>
        </w:rPr>
        <w:t>（</w:t>
      </w:r>
      <w:r>
        <w:rPr>
          <w:rFonts w:hint="eastAsia" w:ascii="宋体" w:hAnsi="宋体"/>
          <w:color w:val="auto"/>
          <w:kern w:val="28"/>
          <w:highlight w:val="none"/>
          <w:u w:val="none"/>
          <w:lang w:val="en-US" w:eastAsia="zh-CN"/>
        </w:rPr>
        <w:t>签订合同后</w:t>
      </w:r>
      <w:r>
        <w:rPr>
          <w:rFonts w:hint="eastAsia" w:ascii="宋体" w:hAnsi="宋体"/>
          <w:color w:val="auto"/>
          <w:kern w:val="28"/>
          <w:highlight w:val="none"/>
          <w:u w:val="none"/>
          <w:lang w:eastAsia="zh-CN"/>
        </w:rPr>
        <w:t>）</w:t>
      </w:r>
      <w:r>
        <w:rPr>
          <w:rFonts w:hint="eastAsia" w:ascii="宋体" w:hAnsi="宋体" w:eastAsia="宋体"/>
          <w:color w:val="auto"/>
          <w:kern w:val="28"/>
          <w:highlight w:val="none"/>
          <w:u w:val="none"/>
        </w:rPr>
        <w:t>，详细内容请参阅招标文件“第二部分 用户需求书”的相关内容</w:t>
      </w:r>
    </w:p>
    <w:p w14:paraId="154A99DA">
      <w:pPr>
        <w:snapToGrid w:val="0"/>
        <w:spacing w:line="360" w:lineRule="auto"/>
        <w:rPr>
          <w:rFonts w:hint="eastAsia" w:ascii="宋体" w:hAnsi="宋体" w:eastAsia="宋体"/>
          <w:color w:val="auto"/>
          <w:kern w:val="28"/>
          <w:highlight w:val="none"/>
          <w:u w:val="none"/>
        </w:rPr>
      </w:pPr>
      <w:r>
        <w:rPr>
          <w:rFonts w:hint="eastAsia" w:ascii="宋体" w:hAnsi="宋体" w:eastAsia="宋体"/>
          <w:color w:val="auto"/>
          <w:kern w:val="28"/>
          <w:highlight w:val="none"/>
          <w:u w:val="none"/>
        </w:rPr>
        <w:t>本项目最高限价：4</w:t>
      </w:r>
      <w:r>
        <w:rPr>
          <w:rFonts w:hint="eastAsia" w:ascii="宋体" w:hAnsi="宋体"/>
          <w:color w:val="auto"/>
          <w:kern w:val="28"/>
          <w:highlight w:val="none"/>
          <w:u w:val="none"/>
          <w:lang w:val="en-US" w:eastAsia="zh-CN"/>
        </w:rPr>
        <w:t>50</w:t>
      </w:r>
      <w:r>
        <w:rPr>
          <w:rFonts w:hint="eastAsia" w:ascii="宋体" w:hAnsi="宋体" w:eastAsia="宋体"/>
          <w:color w:val="auto"/>
          <w:kern w:val="28"/>
          <w:highlight w:val="none"/>
          <w:u w:val="none"/>
        </w:rPr>
        <w:t>万元（大写：肆佰</w:t>
      </w:r>
      <w:r>
        <w:rPr>
          <w:rFonts w:hint="eastAsia" w:ascii="宋体" w:hAnsi="宋体"/>
          <w:color w:val="auto"/>
          <w:kern w:val="28"/>
          <w:highlight w:val="none"/>
          <w:u w:val="none"/>
          <w:lang w:val="en-US" w:eastAsia="zh-CN"/>
        </w:rPr>
        <w:t>伍拾</w:t>
      </w:r>
      <w:r>
        <w:rPr>
          <w:rFonts w:hint="eastAsia" w:ascii="宋体" w:hAnsi="宋体" w:eastAsia="宋体"/>
          <w:color w:val="auto"/>
          <w:kern w:val="28"/>
          <w:highlight w:val="none"/>
          <w:u w:val="none"/>
        </w:rPr>
        <w:t>万元整）。投标人的投标总价不得超出最高限价，否则其投标文件将被否决</w:t>
      </w:r>
    </w:p>
    <w:p w14:paraId="1E434510">
      <w:pPr>
        <w:snapToGrid w:val="0"/>
        <w:spacing w:line="360" w:lineRule="auto"/>
        <w:rPr>
          <w:rFonts w:hint="eastAsia" w:ascii="宋体" w:hAnsi="宋体"/>
          <w:b/>
          <w:bCs/>
          <w:color w:val="auto"/>
          <w:kern w:val="28"/>
          <w:highlight w:val="none"/>
        </w:rPr>
      </w:pPr>
      <w:r>
        <w:rPr>
          <w:rFonts w:hint="eastAsia" w:ascii="宋体" w:hAnsi="宋体"/>
          <w:b/>
          <w:bCs/>
          <w:color w:val="auto"/>
          <w:kern w:val="28"/>
          <w:highlight w:val="none"/>
        </w:rPr>
        <w:t>二、</w:t>
      </w:r>
      <w:r>
        <w:rPr>
          <w:rFonts w:hint="eastAsia" w:ascii="宋体" w:hAnsi="宋体"/>
          <w:b/>
          <w:bCs/>
          <w:color w:val="auto"/>
          <w:highlight w:val="none"/>
        </w:rPr>
        <w:t>合格投标人条件</w:t>
      </w:r>
    </w:p>
    <w:p w14:paraId="33AC2229">
      <w:pPr>
        <w:snapToGrid w:val="0"/>
        <w:spacing w:line="360" w:lineRule="auto"/>
        <w:rPr>
          <w:rFonts w:hint="eastAsia" w:ascii="宋体" w:hAnsi="宋体"/>
          <w:color w:val="auto"/>
          <w:szCs w:val="21"/>
          <w:highlight w:val="none"/>
        </w:rPr>
      </w:pPr>
      <w:r>
        <w:rPr>
          <w:rFonts w:ascii="宋体" w:hAnsi="宋体"/>
          <w:color w:val="auto"/>
          <w:szCs w:val="21"/>
          <w:highlight w:val="none"/>
        </w:rPr>
        <w:t xml:space="preserve">1. </w:t>
      </w:r>
      <w:r>
        <w:rPr>
          <w:rFonts w:hint="eastAsia" w:ascii="宋体" w:hAnsi="宋体" w:cs="宋体"/>
          <w:color w:val="auto"/>
          <w:kern w:val="0"/>
          <w:szCs w:val="21"/>
          <w:highlight w:val="none"/>
        </w:rPr>
        <w:t>投标人必须</w:t>
      </w:r>
      <w:r>
        <w:rPr>
          <w:rFonts w:ascii="宋体" w:hAnsi="宋体"/>
          <w:color w:val="auto"/>
          <w:szCs w:val="21"/>
          <w:highlight w:val="none"/>
        </w:rPr>
        <w:t>具有独立承担民事责任能力的在中华人民共和国境内注册的法人或其它组织</w:t>
      </w:r>
      <w:r>
        <w:rPr>
          <w:rFonts w:hint="eastAsia" w:ascii="宋体" w:hAnsi="宋体"/>
          <w:color w:val="auto"/>
          <w:kern w:val="28"/>
          <w:szCs w:val="21"/>
          <w:highlight w:val="none"/>
        </w:rPr>
        <w:t>，有合法经营权</w:t>
      </w:r>
      <w:r>
        <w:rPr>
          <w:rFonts w:ascii="宋体" w:hAnsi="宋体"/>
          <w:color w:val="auto"/>
          <w:szCs w:val="21"/>
          <w:highlight w:val="none"/>
        </w:rPr>
        <w:t>；</w:t>
      </w:r>
    </w:p>
    <w:p w14:paraId="42D83484">
      <w:pPr>
        <w:snapToGrid w:val="0"/>
        <w:spacing w:line="360" w:lineRule="auto"/>
        <w:rPr>
          <w:rFonts w:hint="eastAsia" w:ascii="宋体" w:hAnsi="宋体"/>
          <w:color w:val="auto"/>
          <w:szCs w:val="21"/>
          <w:highlight w:val="none"/>
        </w:rPr>
      </w:pPr>
      <w:r>
        <w:rPr>
          <w:rFonts w:hint="eastAsia" w:ascii="宋体" w:hAnsi="宋体"/>
          <w:color w:val="auto"/>
          <w:kern w:val="28"/>
          <w:szCs w:val="21"/>
          <w:highlight w:val="none"/>
        </w:rPr>
        <w:t>2</w:t>
      </w:r>
      <w:r>
        <w:rPr>
          <w:rFonts w:ascii="宋体" w:hAnsi="宋体"/>
          <w:color w:val="auto"/>
          <w:kern w:val="28"/>
          <w:szCs w:val="21"/>
          <w:highlight w:val="none"/>
        </w:rPr>
        <w:t>.</w:t>
      </w:r>
      <w:r>
        <w:rPr>
          <w:rFonts w:hint="eastAsia" w:ascii="宋体" w:hAnsi="宋体"/>
          <w:color w:val="auto"/>
          <w:kern w:val="28"/>
          <w:szCs w:val="21"/>
          <w:highlight w:val="none"/>
        </w:rPr>
        <w:t xml:space="preserve"> </w:t>
      </w:r>
      <w:r>
        <w:rPr>
          <w:rFonts w:hint="eastAsia" w:ascii="宋体" w:hAnsi="宋体" w:cs="宋体"/>
          <w:color w:val="auto"/>
          <w:kern w:val="0"/>
          <w:szCs w:val="21"/>
          <w:highlight w:val="none"/>
        </w:rPr>
        <w:t>投标人</w:t>
      </w:r>
      <w:r>
        <w:rPr>
          <w:rFonts w:hint="eastAsia" w:ascii="宋体" w:hAnsi="宋体"/>
          <w:color w:val="auto"/>
          <w:szCs w:val="21"/>
          <w:highlight w:val="none"/>
        </w:rPr>
        <w:t>须是所投家具的制造商</w:t>
      </w:r>
      <w:r>
        <w:rPr>
          <w:rFonts w:ascii="宋体" w:hAnsi="宋体"/>
          <w:color w:val="auto"/>
          <w:szCs w:val="21"/>
          <w:highlight w:val="none"/>
        </w:rPr>
        <w:t>；</w:t>
      </w:r>
    </w:p>
    <w:p w14:paraId="34D9E678">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 xml:space="preserve">. </w:t>
      </w:r>
      <w:r>
        <w:rPr>
          <w:rFonts w:hint="eastAsia" w:ascii="宋体" w:hAnsi="宋体"/>
          <w:color w:val="auto"/>
          <w:szCs w:val="21"/>
          <w:highlight w:val="none"/>
        </w:rPr>
        <w:t>单位负责人为同一人或者存在控股、管理关系的不同单位，不得同时参加本项目投标；</w:t>
      </w:r>
    </w:p>
    <w:p w14:paraId="23D2A341">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4. 投标人未被列入“信用中国”网站(www.creditchina.gov.cn)记录 “失信被执行人”或“重大税收违法失信主体”名单（以</w:t>
      </w:r>
      <w:r>
        <w:rPr>
          <w:rFonts w:hint="eastAsia" w:ascii="宋体" w:hAnsi="宋体"/>
          <w:color w:val="auto"/>
          <w:szCs w:val="21"/>
          <w:highlight w:val="none"/>
          <w:lang w:eastAsia="zh-CN"/>
        </w:rPr>
        <w:t>招标人</w:t>
      </w:r>
      <w:r>
        <w:rPr>
          <w:rFonts w:hint="eastAsia" w:ascii="宋体" w:hAnsi="宋体"/>
          <w:color w:val="auto"/>
          <w:szCs w:val="21"/>
          <w:highlight w:val="none"/>
        </w:rPr>
        <w:t>于投标截止日当天在“信用中国”网站www.creditchina.gov.cn查询结果为准，如相关失信记录已失效，投标人需提供相关证明资料）；</w:t>
      </w:r>
    </w:p>
    <w:p w14:paraId="725E74A4">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5. 本项目不接受联合体</w:t>
      </w:r>
      <w:r>
        <w:rPr>
          <w:rFonts w:hint="eastAsia" w:ascii="宋体" w:hAnsi="宋体"/>
          <w:color w:val="auto"/>
          <w:szCs w:val="21"/>
          <w:highlight w:val="none"/>
          <w:lang w:val="en-US" w:eastAsia="zh-CN"/>
        </w:rPr>
        <w:t>投标</w:t>
      </w:r>
      <w:r>
        <w:rPr>
          <w:rFonts w:hint="eastAsia" w:ascii="宋体" w:hAnsi="宋体"/>
          <w:color w:val="auto"/>
          <w:szCs w:val="21"/>
          <w:highlight w:val="none"/>
        </w:rPr>
        <w:t>或分包、转包；</w:t>
      </w:r>
    </w:p>
    <w:p w14:paraId="69969853">
      <w:pPr>
        <w:snapToGrid w:val="0"/>
        <w:spacing w:line="360" w:lineRule="auto"/>
        <w:rPr>
          <w:rFonts w:hint="eastAsia" w:ascii="宋体" w:hAnsi="宋体"/>
          <w:color w:val="auto"/>
          <w:highlight w:val="none"/>
        </w:rPr>
      </w:pPr>
      <w:r>
        <w:rPr>
          <w:rFonts w:hint="eastAsia" w:ascii="宋体" w:hAnsi="宋体"/>
          <w:color w:val="auto"/>
          <w:szCs w:val="21"/>
          <w:highlight w:val="none"/>
        </w:rPr>
        <w:t>6. 已获取了招标文件。</w:t>
      </w:r>
    </w:p>
    <w:p w14:paraId="2F0E320F">
      <w:pPr>
        <w:snapToGrid w:val="0"/>
        <w:spacing w:line="360" w:lineRule="auto"/>
        <w:ind w:firstLine="105" w:firstLineChars="50"/>
        <w:rPr>
          <w:rFonts w:hint="eastAsia" w:ascii="宋体" w:hAnsi="宋体"/>
          <w:color w:val="auto"/>
          <w:highlight w:val="none"/>
        </w:rPr>
      </w:pPr>
    </w:p>
    <w:p w14:paraId="1F7964EC">
      <w:pPr>
        <w:snapToGrid w:val="0"/>
        <w:spacing w:line="360" w:lineRule="auto"/>
        <w:rPr>
          <w:rFonts w:hint="eastAsia" w:ascii="宋体" w:hAnsi="宋体" w:cs="Tahoma"/>
          <w:b/>
          <w:bCs/>
          <w:color w:val="auto"/>
          <w:kern w:val="28"/>
          <w:szCs w:val="21"/>
          <w:highlight w:val="none"/>
        </w:rPr>
      </w:pPr>
      <w:r>
        <w:rPr>
          <w:rFonts w:hint="eastAsia" w:ascii="宋体" w:hAnsi="宋体" w:cs="Tahoma"/>
          <w:b/>
          <w:bCs/>
          <w:color w:val="auto"/>
          <w:kern w:val="28"/>
          <w:szCs w:val="21"/>
          <w:highlight w:val="none"/>
        </w:rPr>
        <w:t>三、招标文件获取</w:t>
      </w:r>
    </w:p>
    <w:p w14:paraId="79101040">
      <w:pPr>
        <w:snapToGrid w:val="0"/>
        <w:spacing w:line="360" w:lineRule="auto"/>
        <w:rPr>
          <w:rFonts w:hint="eastAsia" w:ascii="宋体" w:hAnsi="宋体" w:cs="Tahoma"/>
          <w:kern w:val="28"/>
          <w:szCs w:val="21"/>
          <w:lang w:val="en-US" w:eastAsia="zh-CN"/>
        </w:rPr>
      </w:pPr>
      <w:r>
        <w:rPr>
          <w:rFonts w:hint="eastAsia" w:ascii="宋体" w:hAnsi="宋体" w:cs="Tahoma"/>
          <w:kern w:val="28"/>
          <w:szCs w:val="21"/>
        </w:rPr>
        <w:t>有</w:t>
      </w:r>
      <w:r>
        <w:rPr>
          <w:rFonts w:hint="eastAsia" w:ascii="宋体" w:hAnsi="宋体" w:cs="Tahoma"/>
          <w:kern w:val="28"/>
          <w:szCs w:val="21"/>
          <w:lang w:val="en-US" w:eastAsia="zh-CN"/>
        </w:rPr>
        <w:t>意向的</w:t>
      </w:r>
      <w:r>
        <w:rPr>
          <w:rFonts w:hint="eastAsia" w:ascii="宋体" w:hAnsi="宋体" w:cs="Tahoma"/>
          <w:kern w:val="28"/>
          <w:szCs w:val="21"/>
        </w:rPr>
        <w:t>投标人请</w:t>
      </w:r>
      <w:r>
        <w:rPr>
          <w:rFonts w:hint="eastAsia" w:ascii="宋体" w:hAnsi="宋体" w:cs="Tahoma"/>
          <w:kern w:val="28"/>
          <w:szCs w:val="21"/>
          <w:lang w:val="en-US" w:eastAsia="zh-CN"/>
        </w:rPr>
        <w:t>自行在广州工控集团官方网站采购平台（https://ips.giihg.com）或广重集团官方网站（https://www.gzhm.com）下载获取。</w:t>
      </w:r>
    </w:p>
    <w:p w14:paraId="027A47CA">
      <w:pPr>
        <w:snapToGrid w:val="0"/>
        <w:spacing w:line="360" w:lineRule="auto"/>
        <w:rPr>
          <w:rFonts w:hint="eastAsia" w:ascii="宋体" w:hAnsi="宋体" w:cs="Tahoma"/>
          <w:color w:val="auto"/>
          <w:kern w:val="28"/>
          <w:szCs w:val="21"/>
          <w:highlight w:val="none"/>
        </w:rPr>
      </w:pPr>
    </w:p>
    <w:p w14:paraId="6373915C">
      <w:pPr>
        <w:snapToGrid w:val="0"/>
        <w:spacing w:line="360" w:lineRule="auto"/>
        <w:rPr>
          <w:rFonts w:hint="eastAsia" w:ascii="宋体" w:hAnsi="宋体"/>
          <w:b/>
          <w:bCs/>
          <w:color w:val="auto"/>
          <w:kern w:val="28"/>
          <w:highlight w:val="none"/>
        </w:rPr>
      </w:pPr>
      <w:r>
        <w:rPr>
          <w:rFonts w:hint="eastAsia" w:ascii="宋体" w:hAnsi="宋体"/>
          <w:b/>
          <w:bCs/>
          <w:color w:val="auto"/>
          <w:kern w:val="28"/>
          <w:highlight w:val="none"/>
        </w:rPr>
        <w:t>四、投标截止时间、开标时间及方式、地点</w:t>
      </w:r>
    </w:p>
    <w:p w14:paraId="2ABEF57E">
      <w:pPr>
        <w:snapToGrid w:val="0"/>
        <w:spacing w:line="360" w:lineRule="auto"/>
        <w:rPr>
          <w:rFonts w:hint="eastAsia" w:ascii="宋体" w:hAnsi="宋体"/>
          <w:color w:val="auto"/>
          <w:kern w:val="28"/>
          <w:highlight w:val="none"/>
        </w:rPr>
      </w:pPr>
      <w:r>
        <w:rPr>
          <w:rFonts w:hint="eastAsia" w:ascii="宋体" w:hAnsi="宋体"/>
          <w:color w:val="auto"/>
          <w:kern w:val="28"/>
          <w:highlight w:val="none"/>
        </w:rPr>
        <w:t>1、投标截止时间：2025年</w:t>
      </w:r>
      <w:r>
        <w:rPr>
          <w:rFonts w:hint="eastAsia" w:ascii="宋体" w:hAnsi="宋体"/>
          <w:color w:val="auto"/>
          <w:kern w:val="28"/>
          <w:highlight w:val="none"/>
          <w:lang w:val="en-US" w:eastAsia="zh-CN"/>
        </w:rPr>
        <w:t>11</w:t>
      </w:r>
      <w:r>
        <w:rPr>
          <w:rFonts w:hint="eastAsia" w:ascii="宋体" w:hAnsi="宋体"/>
          <w:color w:val="auto"/>
          <w:kern w:val="28"/>
          <w:highlight w:val="none"/>
        </w:rPr>
        <w:t>月</w:t>
      </w:r>
      <w:r>
        <w:rPr>
          <w:rFonts w:hint="eastAsia" w:ascii="宋体" w:hAnsi="宋体"/>
          <w:color w:val="auto"/>
          <w:kern w:val="28"/>
          <w:highlight w:val="none"/>
          <w:lang w:val="en-US" w:eastAsia="zh-CN"/>
        </w:rPr>
        <w:t>6</w:t>
      </w:r>
      <w:r>
        <w:rPr>
          <w:rFonts w:hint="eastAsia" w:ascii="宋体" w:hAnsi="宋体"/>
          <w:color w:val="auto"/>
          <w:kern w:val="28"/>
          <w:highlight w:val="none"/>
        </w:rPr>
        <w:t>日17：00</w:t>
      </w:r>
    </w:p>
    <w:p w14:paraId="24F5918A">
      <w:pPr>
        <w:snapToGrid w:val="0"/>
        <w:spacing w:line="360" w:lineRule="auto"/>
        <w:rPr>
          <w:rFonts w:hint="eastAsia" w:ascii="宋体" w:hAnsi="宋体"/>
          <w:color w:val="auto"/>
          <w:kern w:val="28"/>
          <w:highlight w:val="none"/>
        </w:rPr>
      </w:pPr>
      <w:r>
        <w:rPr>
          <w:rFonts w:hint="eastAsia" w:ascii="宋体" w:hAnsi="宋体"/>
          <w:color w:val="auto"/>
          <w:kern w:val="28"/>
          <w:highlight w:val="none"/>
        </w:rPr>
        <w:t>2、开标时间：暂定2025年</w:t>
      </w:r>
      <w:r>
        <w:rPr>
          <w:rFonts w:hint="eastAsia" w:ascii="宋体" w:hAnsi="宋体"/>
          <w:color w:val="auto"/>
          <w:kern w:val="28"/>
          <w:highlight w:val="none"/>
          <w:lang w:val="en-US" w:eastAsia="zh-CN"/>
        </w:rPr>
        <w:t>11</w:t>
      </w:r>
      <w:r>
        <w:rPr>
          <w:rFonts w:hint="eastAsia" w:ascii="宋体" w:hAnsi="宋体"/>
          <w:color w:val="auto"/>
          <w:kern w:val="28"/>
          <w:highlight w:val="none"/>
        </w:rPr>
        <w:t>月</w:t>
      </w:r>
      <w:r>
        <w:rPr>
          <w:rFonts w:hint="eastAsia" w:ascii="宋体" w:hAnsi="宋体"/>
          <w:color w:val="auto"/>
          <w:kern w:val="28"/>
          <w:highlight w:val="none"/>
          <w:lang w:val="en-US" w:eastAsia="zh-CN"/>
        </w:rPr>
        <w:t>7</w:t>
      </w:r>
      <w:r>
        <w:rPr>
          <w:rFonts w:hint="eastAsia" w:ascii="宋体" w:hAnsi="宋体"/>
          <w:color w:val="auto"/>
          <w:kern w:val="28"/>
          <w:highlight w:val="none"/>
        </w:rPr>
        <w:t>日14：00</w:t>
      </w:r>
    </w:p>
    <w:p w14:paraId="0363AD7C">
      <w:pPr>
        <w:snapToGrid w:val="0"/>
        <w:spacing w:line="360" w:lineRule="auto"/>
        <w:rPr>
          <w:rFonts w:hint="eastAsia" w:ascii="宋体" w:hAnsi="宋体"/>
          <w:color w:val="auto"/>
          <w:kern w:val="28"/>
          <w:highlight w:val="none"/>
        </w:rPr>
      </w:pPr>
      <w:r>
        <w:rPr>
          <w:rFonts w:hint="eastAsia" w:ascii="宋体" w:hAnsi="宋体"/>
          <w:color w:val="auto"/>
          <w:kern w:val="28"/>
          <w:highlight w:val="none"/>
        </w:rPr>
        <w:t>3、开标地点：暂定广州市番禺区石壁街道钟顺路626号行政楼二楼</w:t>
      </w:r>
    </w:p>
    <w:p w14:paraId="0494B323">
      <w:pPr>
        <w:snapToGrid w:val="0"/>
        <w:spacing w:line="360" w:lineRule="auto"/>
        <w:rPr>
          <w:rFonts w:hint="eastAsia" w:ascii="宋体" w:hAnsi="宋体"/>
          <w:color w:val="auto"/>
          <w:kern w:val="28"/>
          <w:highlight w:val="none"/>
        </w:rPr>
      </w:pPr>
    </w:p>
    <w:p w14:paraId="481A515D">
      <w:pPr>
        <w:snapToGrid w:val="0"/>
        <w:spacing w:line="360" w:lineRule="auto"/>
        <w:rPr>
          <w:rFonts w:hint="eastAsia" w:ascii="宋体" w:hAnsi="宋体"/>
          <w:b/>
          <w:bCs/>
          <w:color w:val="auto"/>
          <w:kern w:val="28"/>
          <w:szCs w:val="24"/>
          <w:highlight w:val="none"/>
        </w:rPr>
      </w:pPr>
      <w:r>
        <w:rPr>
          <w:rFonts w:hint="eastAsia" w:ascii="宋体" w:hAnsi="宋体"/>
          <w:b/>
          <w:bCs/>
          <w:color w:val="auto"/>
          <w:kern w:val="28"/>
          <w:szCs w:val="24"/>
          <w:highlight w:val="none"/>
        </w:rPr>
        <w:t>五、发布招标项目信息的媒介</w:t>
      </w:r>
    </w:p>
    <w:p w14:paraId="7D44B6CC">
      <w:pPr>
        <w:snapToGrid w:val="0"/>
        <w:spacing w:line="360" w:lineRule="auto"/>
        <w:ind w:firstLine="420" w:firstLineChars="200"/>
        <w:rPr>
          <w:rFonts w:hint="eastAsia" w:ascii="宋体" w:hAnsi="宋体"/>
          <w:color w:val="auto"/>
          <w:kern w:val="28"/>
          <w:szCs w:val="24"/>
          <w:highlight w:val="none"/>
        </w:rPr>
      </w:pPr>
      <w:r>
        <w:rPr>
          <w:rFonts w:hint="eastAsia" w:ascii="宋体" w:hAnsi="宋体"/>
          <w:color w:val="auto"/>
          <w:kern w:val="28"/>
          <w:szCs w:val="24"/>
          <w:highlight w:val="none"/>
        </w:rPr>
        <w:t>本次招标项目信息同时在</w:t>
      </w:r>
      <w:r>
        <w:rPr>
          <w:rFonts w:hint="eastAsia" w:ascii="宋体" w:hAnsi="宋体"/>
          <w:color w:val="auto"/>
          <w:szCs w:val="21"/>
          <w:highlight w:val="none"/>
          <w:lang w:eastAsia="zh-CN"/>
        </w:rPr>
        <w:t>广州工控集团官方网站采购平台（https://ips.giihg.com）</w:t>
      </w:r>
      <w:r>
        <w:rPr>
          <w:rFonts w:hint="eastAsia" w:ascii="宋体" w:hAnsi="宋体"/>
          <w:color w:val="auto"/>
          <w:szCs w:val="21"/>
          <w:highlight w:val="none"/>
          <w:lang w:val="en-US" w:eastAsia="zh-CN"/>
        </w:rPr>
        <w:t>及</w:t>
      </w:r>
      <w:r>
        <w:rPr>
          <w:rFonts w:hint="eastAsia" w:ascii="宋体" w:hAnsi="宋体"/>
          <w:color w:val="auto"/>
          <w:szCs w:val="21"/>
          <w:highlight w:val="none"/>
          <w:lang w:eastAsia="zh-CN"/>
        </w:rPr>
        <w:t>广重集团官方网站（https://www.gzhm.com）</w:t>
      </w:r>
      <w:r>
        <w:rPr>
          <w:rFonts w:hint="eastAsia" w:ascii="宋体" w:hAnsi="宋体"/>
          <w:color w:val="auto"/>
          <w:szCs w:val="21"/>
          <w:highlight w:val="none"/>
          <w:lang w:val="en-US" w:eastAsia="zh-CN"/>
        </w:rPr>
        <w:t>发布</w:t>
      </w:r>
      <w:r>
        <w:rPr>
          <w:rFonts w:hint="eastAsia" w:ascii="宋体" w:hAnsi="宋体"/>
          <w:color w:val="auto"/>
          <w:kern w:val="28"/>
          <w:szCs w:val="24"/>
          <w:highlight w:val="none"/>
        </w:rPr>
        <w:t>。</w:t>
      </w:r>
    </w:p>
    <w:p w14:paraId="4FA893DB">
      <w:pPr>
        <w:snapToGrid w:val="0"/>
        <w:spacing w:line="360" w:lineRule="auto"/>
        <w:rPr>
          <w:rFonts w:hint="eastAsia" w:ascii="宋体" w:hAnsi="宋体"/>
          <w:color w:val="auto"/>
          <w:kern w:val="28"/>
          <w:highlight w:val="none"/>
        </w:rPr>
      </w:pPr>
    </w:p>
    <w:p w14:paraId="0B6E94BC">
      <w:pPr>
        <w:snapToGrid w:val="0"/>
        <w:spacing w:line="360" w:lineRule="auto"/>
        <w:rPr>
          <w:rFonts w:hint="eastAsia" w:ascii="宋体" w:hAnsi="宋体"/>
          <w:b/>
          <w:bCs/>
          <w:color w:val="auto"/>
          <w:kern w:val="28"/>
          <w:highlight w:val="none"/>
        </w:rPr>
      </w:pPr>
      <w:r>
        <w:rPr>
          <w:rFonts w:hint="eastAsia" w:ascii="宋体" w:hAnsi="宋体"/>
          <w:b/>
          <w:bCs/>
          <w:color w:val="auto"/>
          <w:kern w:val="28"/>
          <w:highlight w:val="none"/>
        </w:rPr>
        <w:t>六、有关联系事项：</w:t>
      </w:r>
    </w:p>
    <w:bookmarkEnd w:id="1"/>
    <w:p w14:paraId="72F553C4">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right="0"/>
        <w:rPr>
          <w:rFonts w:hint="eastAsia" w:ascii="宋体" w:hAnsi="宋体" w:eastAsia="宋体" w:cs="Times New Roman"/>
          <w:color w:val="auto"/>
          <w:kern w:val="28"/>
          <w:sz w:val="21"/>
          <w:szCs w:val="24"/>
          <w:highlight w:val="none"/>
          <w:lang w:val="en-US" w:eastAsia="zh-CN" w:bidi="ar-SA"/>
        </w:rPr>
      </w:pPr>
      <w:r>
        <w:rPr>
          <w:rFonts w:hint="eastAsia" w:ascii="宋体" w:hAnsi="宋体" w:eastAsia="宋体" w:cs="Times New Roman"/>
          <w:color w:val="auto"/>
          <w:kern w:val="28"/>
          <w:sz w:val="21"/>
          <w:szCs w:val="24"/>
          <w:highlight w:val="none"/>
          <w:lang w:val="en-US" w:eastAsia="zh-CN" w:bidi="ar-SA"/>
        </w:rPr>
        <w:t>招标人：广州工控智能装备产业有限公司</w:t>
      </w:r>
    </w:p>
    <w:p w14:paraId="10B7C879">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right="0"/>
        <w:rPr>
          <w:rFonts w:hint="eastAsia" w:ascii="宋体" w:hAnsi="宋体" w:eastAsia="宋体" w:cs="Times New Roman"/>
          <w:color w:val="auto"/>
          <w:kern w:val="28"/>
          <w:sz w:val="21"/>
          <w:szCs w:val="24"/>
          <w:highlight w:val="none"/>
          <w:lang w:val="en-US" w:eastAsia="zh-CN" w:bidi="ar-SA"/>
        </w:rPr>
      </w:pPr>
      <w:r>
        <w:rPr>
          <w:rFonts w:hint="eastAsia" w:ascii="宋体" w:hAnsi="宋体" w:eastAsia="宋体" w:cs="Times New Roman"/>
          <w:color w:val="auto"/>
          <w:kern w:val="28"/>
          <w:sz w:val="21"/>
          <w:szCs w:val="24"/>
          <w:highlight w:val="none"/>
          <w:lang w:val="en-US" w:eastAsia="zh-CN" w:bidi="ar-SA"/>
        </w:rPr>
        <w:t>工作联系人：顾先生，18529405588</w:t>
      </w:r>
    </w:p>
    <w:p w14:paraId="2CB20C46">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right="0"/>
        <w:rPr>
          <w:rFonts w:hint="eastAsia" w:ascii="宋体" w:hAnsi="宋体" w:eastAsia="宋体" w:cs="Times New Roman"/>
          <w:color w:val="auto"/>
          <w:kern w:val="28"/>
          <w:sz w:val="21"/>
          <w:szCs w:val="24"/>
          <w:highlight w:val="none"/>
          <w:lang w:val="en-US" w:eastAsia="zh-CN" w:bidi="ar-SA"/>
        </w:rPr>
      </w:pPr>
      <w:r>
        <w:rPr>
          <w:rFonts w:hint="eastAsia" w:ascii="宋体" w:hAnsi="宋体" w:eastAsia="宋体" w:cs="Times New Roman"/>
          <w:color w:val="auto"/>
          <w:kern w:val="28"/>
          <w:sz w:val="21"/>
          <w:szCs w:val="24"/>
          <w:highlight w:val="none"/>
          <w:lang w:val="en-US" w:eastAsia="zh-CN" w:bidi="ar-SA"/>
        </w:rPr>
        <w:t>电子邮箱：</w:t>
      </w:r>
      <w:r>
        <w:rPr>
          <w:rFonts w:hint="eastAsia" w:ascii="宋体" w:hAnsi="宋体" w:eastAsia="宋体" w:cs="Times New Roman"/>
          <w:color w:val="auto"/>
          <w:kern w:val="28"/>
          <w:sz w:val="21"/>
          <w:szCs w:val="24"/>
          <w:highlight w:val="none"/>
          <w:lang w:val="en-US" w:eastAsia="zh-CN" w:bidi="ar-SA"/>
        </w:rPr>
        <w:fldChar w:fldCharType="begin"/>
      </w:r>
      <w:r>
        <w:rPr>
          <w:rFonts w:hint="eastAsia" w:ascii="宋体" w:hAnsi="宋体" w:eastAsia="宋体" w:cs="Times New Roman"/>
          <w:color w:val="auto"/>
          <w:kern w:val="28"/>
          <w:sz w:val="21"/>
          <w:szCs w:val="24"/>
          <w:highlight w:val="none"/>
          <w:lang w:val="en-US" w:eastAsia="zh-CN" w:bidi="ar-SA"/>
        </w:rPr>
        <w:instrText xml:space="preserve"> HYPERLINK "mailto:gudd@gzhm.com" </w:instrText>
      </w:r>
      <w:r>
        <w:rPr>
          <w:rFonts w:hint="eastAsia" w:ascii="宋体" w:hAnsi="宋体" w:eastAsia="宋体" w:cs="Times New Roman"/>
          <w:color w:val="auto"/>
          <w:kern w:val="28"/>
          <w:sz w:val="21"/>
          <w:szCs w:val="24"/>
          <w:highlight w:val="none"/>
          <w:lang w:val="en-US" w:eastAsia="zh-CN" w:bidi="ar-SA"/>
        </w:rPr>
        <w:fldChar w:fldCharType="separate"/>
      </w:r>
      <w:r>
        <w:rPr>
          <w:rFonts w:hint="eastAsia" w:ascii="宋体" w:hAnsi="宋体" w:eastAsia="宋体" w:cs="Times New Roman"/>
          <w:color w:val="auto"/>
          <w:kern w:val="28"/>
          <w:sz w:val="21"/>
          <w:szCs w:val="24"/>
          <w:highlight w:val="none"/>
          <w:lang w:val="en-US" w:eastAsia="zh-CN" w:bidi="ar-SA"/>
        </w:rPr>
        <w:t>gudd@gzhm.com</w:t>
      </w:r>
      <w:r>
        <w:rPr>
          <w:rFonts w:hint="eastAsia" w:ascii="宋体" w:hAnsi="宋体" w:eastAsia="宋体" w:cs="Times New Roman"/>
          <w:color w:val="auto"/>
          <w:kern w:val="28"/>
          <w:sz w:val="21"/>
          <w:szCs w:val="24"/>
          <w:highlight w:val="none"/>
          <w:lang w:val="en-US" w:eastAsia="zh-CN" w:bidi="ar-SA"/>
        </w:rPr>
        <w:fldChar w:fldCharType="end"/>
      </w:r>
    </w:p>
    <w:p w14:paraId="421139ED">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right="0"/>
        <w:rPr>
          <w:rFonts w:hint="eastAsia" w:ascii="宋体" w:hAnsi="宋体" w:eastAsia="宋体" w:cs="Times New Roman"/>
          <w:color w:val="auto"/>
          <w:kern w:val="28"/>
          <w:sz w:val="21"/>
          <w:szCs w:val="24"/>
          <w:highlight w:val="none"/>
          <w:lang w:val="en-US" w:eastAsia="zh-CN" w:bidi="ar-SA"/>
        </w:rPr>
      </w:pPr>
      <w:r>
        <w:rPr>
          <w:rFonts w:hint="eastAsia" w:ascii="宋体" w:hAnsi="宋体" w:eastAsia="宋体" w:cs="Times New Roman"/>
          <w:color w:val="auto"/>
          <w:kern w:val="28"/>
          <w:sz w:val="21"/>
          <w:szCs w:val="24"/>
          <w:highlight w:val="none"/>
          <w:lang w:val="en-US" w:eastAsia="zh-CN" w:bidi="ar-SA"/>
        </w:rPr>
        <w:t>投标联系人：刘小姐，020-84539889</w:t>
      </w:r>
    </w:p>
    <w:p w14:paraId="7F3522EF">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right="0"/>
        <w:rPr>
          <w:rFonts w:hint="eastAsia" w:ascii="宋体" w:hAnsi="宋体" w:eastAsia="宋体" w:cs="Times New Roman"/>
          <w:color w:val="auto"/>
          <w:kern w:val="28"/>
          <w:sz w:val="21"/>
          <w:szCs w:val="24"/>
          <w:highlight w:val="none"/>
          <w:lang w:val="en-US" w:eastAsia="zh-CN" w:bidi="ar-SA"/>
        </w:rPr>
      </w:pPr>
      <w:r>
        <w:rPr>
          <w:rFonts w:hint="eastAsia" w:ascii="宋体" w:hAnsi="宋体" w:eastAsia="宋体" w:cs="Times New Roman"/>
          <w:color w:val="auto"/>
          <w:kern w:val="28"/>
          <w:sz w:val="21"/>
          <w:szCs w:val="24"/>
          <w:highlight w:val="none"/>
          <w:lang w:val="en-US" w:eastAsia="zh-CN" w:bidi="ar-SA"/>
        </w:rPr>
        <w:t>联系地址：广州市番禺区石壁街道钟顺路626号</w:t>
      </w:r>
    </w:p>
    <w:p w14:paraId="713AF657">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540" w:lineRule="atLeast"/>
        <w:ind w:right="0"/>
        <w:rPr>
          <w:rFonts w:hint="eastAsia" w:ascii="宋体" w:hAnsi="宋体" w:eastAsia="宋体" w:cs="Times New Roman"/>
          <w:color w:val="auto"/>
          <w:kern w:val="28"/>
          <w:sz w:val="21"/>
          <w:szCs w:val="24"/>
          <w:highlight w:val="none"/>
          <w:lang w:val="en-US" w:eastAsia="zh-CN" w:bidi="ar-SA"/>
        </w:rPr>
      </w:pPr>
      <w:r>
        <w:rPr>
          <w:rFonts w:hint="eastAsia" w:ascii="宋体" w:hAnsi="宋体" w:eastAsia="宋体" w:cs="Times New Roman"/>
          <w:color w:val="auto"/>
          <w:kern w:val="28"/>
          <w:sz w:val="21"/>
          <w:szCs w:val="24"/>
          <w:highlight w:val="none"/>
          <w:lang w:val="en-US" w:eastAsia="zh-CN" w:bidi="ar-SA"/>
        </w:rPr>
        <w:t>邮编：511400</w:t>
      </w:r>
    </w:p>
    <w:p w14:paraId="581577A7">
      <w:pPr>
        <w:snapToGrid w:val="0"/>
        <w:spacing w:line="360" w:lineRule="auto"/>
        <w:ind w:firstLine="480" w:firstLineChars="200"/>
        <w:rPr>
          <w:rFonts w:eastAsia="黑体"/>
          <w:b/>
          <w:color w:val="auto"/>
          <w:sz w:val="44"/>
          <w:highlight w:val="none"/>
        </w:rPr>
      </w:pPr>
      <w:r>
        <w:rPr>
          <w:rFonts w:ascii="宋体" w:hAnsi="宋体"/>
          <w:color w:val="auto"/>
          <w:sz w:val="24"/>
          <w:szCs w:val="24"/>
          <w:highlight w:val="none"/>
        </w:rPr>
        <w:br w:type="page"/>
      </w:r>
    </w:p>
    <w:p w14:paraId="3DBF0860">
      <w:pPr>
        <w:spacing w:line="480" w:lineRule="exact"/>
        <w:jc w:val="center"/>
        <w:rPr>
          <w:rFonts w:eastAsia="黑体"/>
          <w:b/>
          <w:color w:val="auto"/>
          <w:sz w:val="44"/>
          <w:highlight w:val="none"/>
        </w:rPr>
      </w:pPr>
    </w:p>
    <w:p w14:paraId="46962551">
      <w:pPr>
        <w:spacing w:line="480" w:lineRule="exact"/>
        <w:jc w:val="center"/>
        <w:rPr>
          <w:rFonts w:eastAsia="黑体"/>
          <w:b/>
          <w:color w:val="auto"/>
          <w:sz w:val="44"/>
          <w:highlight w:val="none"/>
        </w:rPr>
      </w:pPr>
    </w:p>
    <w:p w14:paraId="19CA3841">
      <w:pPr>
        <w:spacing w:line="480" w:lineRule="exact"/>
        <w:jc w:val="center"/>
        <w:rPr>
          <w:rFonts w:eastAsia="黑体"/>
          <w:b/>
          <w:color w:val="auto"/>
          <w:sz w:val="44"/>
          <w:highlight w:val="none"/>
        </w:rPr>
      </w:pPr>
    </w:p>
    <w:p w14:paraId="71FA1185">
      <w:pPr>
        <w:spacing w:line="480" w:lineRule="exact"/>
        <w:jc w:val="center"/>
        <w:rPr>
          <w:rFonts w:eastAsia="黑体"/>
          <w:b/>
          <w:color w:val="auto"/>
          <w:sz w:val="44"/>
          <w:highlight w:val="none"/>
        </w:rPr>
      </w:pPr>
    </w:p>
    <w:p w14:paraId="14D674B0">
      <w:pPr>
        <w:spacing w:line="480" w:lineRule="exact"/>
        <w:jc w:val="center"/>
        <w:rPr>
          <w:rFonts w:eastAsia="黑体"/>
          <w:b/>
          <w:color w:val="auto"/>
          <w:sz w:val="44"/>
          <w:highlight w:val="none"/>
        </w:rPr>
      </w:pPr>
    </w:p>
    <w:p w14:paraId="5E169B41">
      <w:pPr>
        <w:spacing w:line="480" w:lineRule="exact"/>
        <w:jc w:val="center"/>
        <w:rPr>
          <w:rFonts w:eastAsia="黑体"/>
          <w:b/>
          <w:color w:val="auto"/>
          <w:sz w:val="44"/>
          <w:highlight w:val="none"/>
        </w:rPr>
      </w:pPr>
    </w:p>
    <w:p w14:paraId="739E809A">
      <w:pPr>
        <w:spacing w:line="480" w:lineRule="exact"/>
        <w:jc w:val="center"/>
        <w:rPr>
          <w:rFonts w:eastAsia="黑体"/>
          <w:b/>
          <w:color w:val="auto"/>
          <w:sz w:val="44"/>
          <w:highlight w:val="none"/>
        </w:rPr>
      </w:pPr>
    </w:p>
    <w:p w14:paraId="722056FA">
      <w:pPr>
        <w:spacing w:line="480" w:lineRule="exact"/>
        <w:jc w:val="center"/>
        <w:rPr>
          <w:rFonts w:eastAsia="黑体"/>
          <w:b/>
          <w:color w:val="auto"/>
          <w:sz w:val="44"/>
          <w:highlight w:val="none"/>
        </w:rPr>
      </w:pPr>
    </w:p>
    <w:p w14:paraId="3C8EC6EC">
      <w:pPr>
        <w:spacing w:line="480" w:lineRule="exact"/>
        <w:jc w:val="center"/>
        <w:rPr>
          <w:rFonts w:eastAsia="黑体"/>
          <w:b/>
          <w:color w:val="auto"/>
          <w:sz w:val="44"/>
          <w:highlight w:val="none"/>
        </w:rPr>
      </w:pPr>
    </w:p>
    <w:p w14:paraId="437BBDF5">
      <w:pPr>
        <w:spacing w:line="480" w:lineRule="exact"/>
        <w:jc w:val="center"/>
        <w:rPr>
          <w:rFonts w:eastAsia="黑体"/>
          <w:b/>
          <w:color w:val="auto"/>
          <w:sz w:val="44"/>
          <w:highlight w:val="none"/>
        </w:rPr>
      </w:pPr>
    </w:p>
    <w:p w14:paraId="5925C6AA">
      <w:pPr>
        <w:spacing w:line="480" w:lineRule="exact"/>
        <w:jc w:val="center"/>
        <w:rPr>
          <w:rFonts w:eastAsia="黑体"/>
          <w:b/>
          <w:color w:val="auto"/>
          <w:sz w:val="44"/>
          <w:highlight w:val="none"/>
        </w:rPr>
      </w:pPr>
    </w:p>
    <w:p w14:paraId="24117B29">
      <w:pPr>
        <w:spacing w:line="480" w:lineRule="exact"/>
        <w:jc w:val="center"/>
        <w:rPr>
          <w:rFonts w:eastAsia="黑体"/>
          <w:b/>
          <w:color w:val="auto"/>
          <w:sz w:val="44"/>
          <w:highlight w:val="none"/>
        </w:rPr>
      </w:pPr>
    </w:p>
    <w:p w14:paraId="7C8C51A7">
      <w:pPr>
        <w:spacing w:line="480" w:lineRule="exact"/>
        <w:jc w:val="center"/>
        <w:outlineLvl w:val="0"/>
        <w:rPr>
          <w:rFonts w:eastAsia="黑体"/>
          <w:b/>
          <w:color w:val="auto"/>
          <w:sz w:val="44"/>
          <w:highlight w:val="none"/>
        </w:rPr>
      </w:pPr>
      <w:r>
        <w:rPr>
          <w:rFonts w:hint="eastAsia" w:eastAsia="黑体"/>
          <w:b/>
          <w:color w:val="auto"/>
          <w:sz w:val="44"/>
          <w:highlight w:val="none"/>
        </w:rPr>
        <w:t xml:space="preserve">第二部分 </w:t>
      </w:r>
      <w:r>
        <w:rPr>
          <w:rFonts w:eastAsia="黑体"/>
          <w:b/>
          <w:color w:val="auto"/>
          <w:sz w:val="44"/>
          <w:highlight w:val="none"/>
        </w:rPr>
        <w:t xml:space="preserve"> </w:t>
      </w:r>
      <w:r>
        <w:rPr>
          <w:rFonts w:hint="eastAsia" w:eastAsia="黑体"/>
          <w:b/>
          <w:color w:val="auto"/>
          <w:sz w:val="44"/>
          <w:highlight w:val="none"/>
        </w:rPr>
        <w:t>用户需求书</w:t>
      </w:r>
    </w:p>
    <w:p w14:paraId="007D55F8">
      <w:pPr>
        <w:wordWrap w:val="0"/>
        <w:spacing w:line="360" w:lineRule="auto"/>
        <w:jc w:val="right"/>
        <w:rPr>
          <w:color w:val="auto"/>
          <w:kern w:val="28"/>
          <w:highlight w:val="none"/>
        </w:rPr>
      </w:pPr>
    </w:p>
    <w:p w14:paraId="432434A6">
      <w:pPr>
        <w:snapToGrid w:val="0"/>
        <w:spacing w:line="360" w:lineRule="auto"/>
        <w:jc w:val="center"/>
        <w:rPr>
          <w:rFonts w:hint="eastAsia" w:ascii="黑体" w:hAnsi="黑体" w:eastAsia="黑体"/>
          <w:b/>
          <w:color w:val="auto"/>
          <w:sz w:val="44"/>
          <w:szCs w:val="44"/>
          <w:highlight w:val="none"/>
        </w:rPr>
      </w:pPr>
      <w:r>
        <w:rPr>
          <w:color w:val="auto"/>
          <w:sz w:val="24"/>
          <w:szCs w:val="24"/>
          <w:highlight w:val="none"/>
        </w:rPr>
        <w:br w:type="page"/>
      </w:r>
      <w:bookmarkStart w:id="2" w:name="_Toc331422834"/>
      <w:bookmarkStart w:id="3" w:name="_Toc331148732"/>
      <w:bookmarkStart w:id="4" w:name="_Toc25080"/>
      <w:bookmarkStart w:id="5" w:name="_Toc331411630"/>
      <w:bookmarkStart w:id="6" w:name="_Toc461445761"/>
      <w:r>
        <w:rPr>
          <w:rFonts w:hint="eastAsia" w:ascii="黑体" w:hAnsi="黑体" w:eastAsia="黑体"/>
          <w:b/>
          <w:color w:val="auto"/>
          <w:sz w:val="44"/>
          <w:szCs w:val="44"/>
          <w:highlight w:val="none"/>
        </w:rPr>
        <w:t>用 户 需 求 书</w:t>
      </w:r>
    </w:p>
    <w:p w14:paraId="140F6A06">
      <w:pPr>
        <w:bidi w:val="0"/>
        <w:rPr>
          <w:rFonts w:hint="eastAsia"/>
        </w:rPr>
      </w:pPr>
    </w:p>
    <w:p w14:paraId="7895247E">
      <w:pPr>
        <w:snapToGrid w:val="0"/>
        <w:spacing w:line="360" w:lineRule="auto"/>
        <w:rPr>
          <w:rFonts w:hint="eastAsia" w:ascii="宋体" w:hAnsi="宋体"/>
          <w:b/>
          <w:color w:val="auto"/>
          <w:szCs w:val="24"/>
          <w:highlight w:val="none"/>
        </w:rPr>
      </w:pPr>
      <w:r>
        <w:rPr>
          <w:rFonts w:hint="eastAsia" w:ascii="宋体" w:hAnsi="宋体"/>
          <w:b/>
          <w:color w:val="auto"/>
          <w:szCs w:val="24"/>
          <w:highlight w:val="none"/>
        </w:rPr>
        <w:t>说明：</w:t>
      </w:r>
    </w:p>
    <w:p w14:paraId="4E4CE90A">
      <w:pPr>
        <w:snapToGrid w:val="0"/>
        <w:spacing w:line="360" w:lineRule="auto"/>
        <w:ind w:firstLine="420" w:firstLineChars="200"/>
        <w:rPr>
          <w:rFonts w:hint="eastAsia" w:ascii="宋体" w:hAnsi="宋体"/>
          <w:b/>
          <w:bCs/>
          <w:color w:val="auto"/>
          <w:szCs w:val="24"/>
          <w:highlight w:val="none"/>
        </w:rPr>
      </w:pPr>
      <w:r>
        <w:rPr>
          <w:rFonts w:hint="eastAsia" w:ascii="宋体" w:hAnsi="宋体"/>
          <w:color w:val="auto"/>
          <w:szCs w:val="24"/>
          <w:highlight w:val="none"/>
        </w:rPr>
        <w:t xml:space="preserve">1. </w:t>
      </w:r>
      <w:r>
        <w:rPr>
          <w:rFonts w:hint="eastAsia" w:ascii="宋体" w:hAnsi="宋体"/>
          <w:b/>
          <w:bCs/>
          <w:color w:val="auto"/>
          <w:szCs w:val="24"/>
          <w:highlight w:val="none"/>
        </w:rPr>
        <w:t>招标文件中凡标有“★”的条款为关键性指标或要求，投标人须对此响应并完全满足这些要求。否则，若有一项带“★”的条款未响应或不满足，则按无效投标处理。</w:t>
      </w:r>
    </w:p>
    <w:p w14:paraId="7C5F86D1">
      <w:pPr>
        <w:snapToGrid w:val="0"/>
        <w:spacing w:line="360" w:lineRule="auto"/>
        <w:ind w:firstLine="420" w:firstLineChars="200"/>
        <w:rPr>
          <w:rFonts w:hint="eastAsia" w:ascii="宋体" w:hAnsi="宋体"/>
          <w:color w:val="auto"/>
          <w:szCs w:val="24"/>
          <w:highlight w:val="none"/>
        </w:rPr>
      </w:pPr>
      <w:r>
        <w:rPr>
          <w:rFonts w:ascii="宋体" w:hAnsi="宋体"/>
          <w:color w:val="auto"/>
          <w:szCs w:val="24"/>
          <w:highlight w:val="none"/>
        </w:rPr>
        <w:t xml:space="preserve">2. </w:t>
      </w:r>
      <w:r>
        <w:rPr>
          <w:rFonts w:hint="eastAsia" w:ascii="宋体" w:hAnsi="宋体"/>
          <w:b/>
          <w:bCs/>
          <w:color w:val="auto"/>
          <w:szCs w:val="24"/>
          <w:highlight w:val="none"/>
        </w:rPr>
        <w:t>招标文件中凡标有“▲”的条款为比较重要的商务、技术指标，未达到这些指标要求的将严重影响评分。</w:t>
      </w:r>
    </w:p>
    <w:p w14:paraId="21E88547">
      <w:pPr>
        <w:snapToGrid w:val="0"/>
        <w:spacing w:line="360" w:lineRule="auto"/>
        <w:ind w:firstLine="420" w:firstLineChars="200"/>
        <w:rPr>
          <w:rFonts w:hint="eastAsia" w:ascii="宋体" w:hAnsi="宋体"/>
          <w:color w:val="auto"/>
          <w:szCs w:val="24"/>
          <w:highlight w:val="none"/>
        </w:rPr>
      </w:pPr>
      <w:r>
        <w:rPr>
          <w:rFonts w:ascii="宋体" w:hAnsi="宋体"/>
          <w:color w:val="auto"/>
          <w:szCs w:val="24"/>
          <w:highlight w:val="none"/>
        </w:rPr>
        <w:t xml:space="preserve">3. </w:t>
      </w:r>
      <w:r>
        <w:rPr>
          <w:rFonts w:hint="eastAsia" w:ascii="宋体" w:hAnsi="宋体"/>
          <w:color w:val="auto"/>
          <w:szCs w:val="24"/>
          <w:highlight w:val="none"/>
        </w:rPr>
        <w:t>如果投标人投标阶段没有以书面对本需求书的条文提出差异表，则招标人认为投标人提出的服务应完全符合本规范书的要求。</w:t>
      </w:r>
    </w:p>
    <w:p w14:paraId="63579BDA">
      <w:pPr>
        <w:snapToGrid w:val="0"/>
        <w:spacing w:line="360" w:lineRule="auto"/>
        <w:ind w:firstLine="420" w:firstLineChars="200"/>
        <w:rPr>
          <w:rFonts w:hint="eastAsia" w:ascii="宋体" w:hAnsi="宋体"/>
          <w:color w:val="auto"/>
          <w:szCs w:val="24"/>
          <w:highlight w:val="none"/>
        </w:rPr>
      </w:pPr>
      <w:r>
        <w:rPr>
          <w:rFonts w:ascii="宋体" w:hAnsi="宋体"/>
          <w:color w:val="auto"/>
          <w:szCs w:val="24"/>
          <w:highlight w:val="none"/>
        </w:rPr>
        <w:t xml:space="preserve">4. </w:t>
      </w:r>
      <w:r>
        <w:rPr>
          <w:rFonts w:hint="eastAsia" w:ascii="宋体" w:hAnsi="宋体"/>
          <w:color w:val="auto"/>
          <w:szCs w:val="24"/>
          <w:highlight w:val="none"/>
        </w:rPr>
        <w:t>本需求书所使用的标准如遇与投标人所执行的标准发生矛盾时，按较高标准执行，如有最新标准，则按最新标准执行。</w:t>
      </w:r>
    </w:p>
    <w:p w14:paraId="28DA06A7">
      <w:pPr>
        <w:snapToGrid w:val="0"/>
        <w:spacing w:line="360" w:lineRule="auto"/>
        <w:rPr>
          <w:rFonts w:hint="eastAsia" w:ascii="宋体" w:hAnsi="宋体"/>
          <w:b/>
          <w:bCs/>
          <w:color w:val="auto"/>
          <w:sz w:val="24"/>
          <w:szCs w:val="24"/>
          <w:highlight w:val="none"/>
        </w:rPr>
      </w:pPr>
    </w:p>
    <w:bookmarkEnd w:id="2"/>
    <w:bookmarkEnd w:id="3"/>
    <w:bookmarkEnd w:id="4"/>
    <w:bookmarkEnd w:id="5"/>
    <w:bookmarkEnd w:id="6"/>
    <w:p w14:paraId="0B8241DF">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一、</w:t>
      </w:r>
      <w:r>
        <w:rPr>
          <w:rFonts w:hint="eastAsia"/>
          <w:color w:val="auto"/>
          <w:highlight w:val="none"/>
        </w:rPr>
        <w:t>项目概况</w:t>
      </w:r>
    </w:p>
    <w:p w14:paraId="26E3F2F0">
      <w:pPr>
        <w:widowControl/>
        <w:numPr>
          <w:ilvl w:val="1"/>
          <w:numId w:val="1"/>
        </w:numPr>
        <w:tabs>
          <w:tab w:val="left" w:pos="426"/>
        </w:tabs>
        <w:adjustRightInd w:val="0"/>
        <w:snapToGrid w:val="0"/>
        <w:spacing w:line="360" w:lineRule="auto"/>
        <w:ind w:left="0" w:firstLine="0"/>
        <w:jc w:val="left"/>
        <w:rPr>
          <w:rFonts w:hint="eastAsia" w:ascii="宋体" w:hAnsi="宋体" w:cs="宋体"/>
          <w:color w:val="auto"/>
          <w:szCs w:val="21"/>
          <w:highlight w:val="none"/>
        </w:rPr>
      </w:pPr>
      <w:r>
        <w:rPr>
          <w:rFonts w:hint="eastAsia" w:ascii="宋体" w:hAnsi="宋体" w:cs="宋体"/>
          <w:color w:val="auto"/>
          <w:szCs w:val="21"/>
          <w:highlight w:val="none"/>
        </w:rPr>
        <w:t>本项目为</w:t>
      </w:r>
      <w:r>
        <w:rPr>
          <w:rFonts w:hint="eastAsia" w:ascii="宋体" w:hAnsi="宋体"/>
          <w:color w:val="auto"/>
          <w:szCs w:val="24"/>
          <w:highlight w:val="none"/>
        </w:rPr>
        <w:t>广州工控大湾区现代高端装备研发生产基地项目（三期）宿舍家具采购项目，</w:t>
      </w:r>
      <w:r>
        <w:rPr>
          <w:rFonts w:hint="eastAsia" w:ascii="宋体" w:hAnsi="宋体" w:cs="宋体"/>
          <w:color w:val="auto"/>
          <w:szCs w:val="21"/>
          <w:highlight w:val="none"/>
        </w:rPr>
        <w:t>具体数量详见项目清单。</w:t>
      </w:r>
    </w:p>
    <w:p w14:paraId="5341B17C">
      <w:pPr>
        <w:widowControl/>
        <w:numPr>
          <w:ilvl w:val="1"/>
          <w:numId w:val="1"/>
        </w:numPr>
        <w:tabs>
          <w:tab w:val="left" w:pos="426"/>
        </w:tabs>
        <w:adjustRightInd w:val="0"/>
        <w:snapToGrid w:val="0"/>
        <w:spacing w:line="360" w:lineRule="auto"/>
        <w:ind w:left="0" w:firstLine="0"/>
        <w:jc w:val="left"/>
        <w:rPr>
          <w:rFonts w:hint="eastAsia" w:ascii="宋体" w:hAnsi="宋体" w:cs="宋体"/>
          <w:color w:val="auto"/>
          <w:szCs w:val="21"/>
          <w:highlight w:val="none"/>
        </w:rPr>
      </w:pPr>
      <w:r>
        <w:rPr>
          <w:rFonts w:hint="eastAsia" w:ascii="宋体" w:hAnsi="宋体" w:cs="宋体"/>
          <w:color w:val="auto"/>
          <w:szCs w:val="21"/>
          <w:highlight w:val="none"/>
        </w:rPr>
        <w:t>项目地点：</w:t>
      </w:r>
      <w:r>
        <w:rPr>
          <w:rFonts w:hint="eastAsia" w:ascii="宋体" w:hAnsi="宋体"/>
          <w:color w:val="auto"/>
          <w:szCs w:val="24"/>
          <w:highlight w:val="none"/>
        </w:rPr>
        <w:t>广东省广州市南沙区大岗镇潭新公路362号</w:t>
      </w:r>
      <w:r>
        <w:rPr>
          <w:rFonts w:hint="eastAsia" w:ascii="宋体" w:hAnsi="宋体" w:cs="宋体"/>
          <w:color w:val="auto"/>
          <w:szCs w:val="21"/>
          <w:highlight w:val="none"/>
        </w:rPr>
        <w:t>。</w:t>
      </w:r>
    </w:p>
    <w:p w14:paraId="2F57EF44">
      <w:pPr>
        <w:widowControl/>
        <w:numPr>
          <w:ilvl w:val="1"/>
          <w:numId w:val="1"/>
        </w:numPr>
        <w:tabs>
          <w:tab w:val="left" w:pos="426"/>
        </w:tabs>
        <w:adjustRightInd w:val="0"/>
        <w:snapToGrid w:val="0"/>
        <w:spacing w:line="360" w:lineRule="auto"/>
        <w:ind w:left="0" w:firstLine="0"/>
        <w:jc w:val="left"/>
        <w:rPr>
          <w:rFonts w:hint="eastAsia" w:ascii="宋体" w:hAnsi="宋体" w:cs="宋体"/>
          <w:color w:val="auto"/>
          <w:szCs w:val="21"/>
          <w:highlight w:val="none"/>
        </w:rPr>
      </w:pPr>
      <w:bookmarkStart w:id="7" w:name="_Hlk202190758"/>
      <w:r>
        <w:rPr>
          <w:rFonts w:hint="eastAsia" w:ascii="宋体" w:hAnsi="宋体" w:cs="宋体"/>
          <w:b/>
          <w:color w:val="auto"/>
          <w:szCs w:val="21"/>
          <w:highlight w:val="none"/>
        </w:rPr>
        <w:t>本项目总工期为</w:t>
      </w:r>
      <w:r>
        <w:rPr>
          <w:rFonts w:hint="eastAsia" w:ascii="宋体" w:hAnsi="宋体" w:cs="宋体"/>
          <w:b/>
          <w:color w:val="auto"/>
          <w:szCs w:val="21"/>
          <w:highlight w:val="none"/>
          <w:u w:val="single"/>
          <w:lang w:val="en-US" w:eastAsia="zh-CN"/>
        </w:rPr>
        <w:t>30</w:t>
      </w:r>
      <w:r>
        <w:rPr>
          <w:rFonts w:hint="eastAsia" w:ascii="宋体" w:hAnsi="宋体" w:cs="宋体"/>
          <w:b/>
          <w:color w:val="auto"/>
          <w:szCs w:val="21"/>
          <w:highlight w:val="none"/>
        </w:rPr>
        <w:t>天，</w:t>
      </w:r>
      <w:bookmarkEnd w:id="7"/>
      <w:r>
        <w:rPr>
          <w:rFonts w:hint="eastAsia" w:ascii="宋体" w:hAnsi="宋体" w:cs="宋体"/>
          <w:color w:val="auto"/>
          <w:szCs w:val="21"/>
          <w:highlight w:val="none"/>
        </w:rPr>
        <w:t>中标人须采取一切有效措施保证，不得延误。同时，中标人须按照招标人最终确认的家具品种、款式、数量和交货计划进行生产和供货。对于实际交货期的起止时间，招标人有权根据实际项目需要作相应调整，投标人应考虑相关风险并尽一切可能配合招标人调整相应的执行计划，并不得以交货期起止时间变动为由要求调整合同价格。</w:t>
      </w:r>
    </w:p>
    <w:p w14:paraId="2339AE55">
      <w:pPr>
        <w:widowControl/>
        <w:numPr>
          <w:ilvl w:val="1"/>
          <w:numId w:val="1"/>
        </w:numPr>
        <w:tabs>
          <w:tab w:val="left" w:pos="426"/>
        </w:tabs>
        <w:adjustRightInd w:val="0"/>
        <w:snapToGrid w:val="0"/>
        <w:spacing w:line="360" w:lineRule="auto"/>
        <w:ind w:left="0" w:firstLine="0"/>
        <w:jc w:val="left"/>
        <w:rPr>
          <w:rFonts w:hint="eastAsia" w:ascii="宋体" w:hAnsi="宋体" w:cs="宋体"/>
          <w:color w:val="auto"/>
          <w:szCs w:val="21"/>
          <w:highlight w:val="none"/>
        </w:rPr>
      </w:pPr>
      <w:r>
        <w:rPr>
          <w:rFonts w:hint="eastAsia" w:ascii="宋体" w:hAnsi="宋体" w:cs="宋体"/>
          <w:color w:val="auto"/>
          <w:szCs w:val="21"/>
          <w:highlight w:val="none"/>
        </w:rPr>
        <w:t>本项目最高限价：4</w:t>
      </w:r>
      <w:r>
        <w:rPr>
          <w:rFonts w:hint="eastAsia" w:ascii="宋体" w:hAnsi="宋体" w:cs="宋体"/>
          <w:color w:val="auto"/>
          <w:szCs w:val="21"/>
          <w:highlight w:val="none"/>
          <w:lang w:val="en-US" w:eastAsia="zh-CN"/>
        </w:rPr>
        <w:t>50</w:t>
      </w:r>
      <w:r>
        <w:rPr>
          <w:rFonts w:hint="eastAsia" w:ascii="宋体" w:hAnsi="宋体" w:cs="宋体"/>
          <w:color w:val="auto"/>
          <w:szCs w:val="21"/>
          <w:highlight w:val="none"/>
        </w:rPr>
        <w:t>万元（大写：肆佰</w:t>
      </w:r>
      <w:r>
        <w:rPr>
          <w:rFonts w:hint="eastAsia" w:ascii="宋体" w:hAnsi="宋体" w:cs="宋体"/>
          <w:color w:val="auto"/>
          <w:szCs w:val="21"/>
          <w:highlight w:val="none"/>
          <w:lang w:val="en-US" w:eastAsia="zh-CN"/>
        </w:rPr>
        <w:t>伍拾</w:t>
      </w:r>
      <w:r>
        <w:rPr>
          <w:rFonts w:hint="eastAsia" w:ascii="宋体" w:hAnsi="宋体" w:cs="宋体"/>
          <w:color w:val="auto"/>
          <w:szCs w:val="21"/>
          <w:highlight w:val="none"/>
        </w:rPr>
        <w:t>万元整）。投标人的投标总价不得超出最高限价，否则其投标文件将被否决。</w:t>
      </w:r>
    </w:p>
    <w:p w14:paraId="03CA3CE6">
      <w:pPr>
        <w:adjustRightInd w:val="0"/>
        <w:snapToGrid w:val="0"/>
        <w:spacing w:line="360" w:lineRule="auto"/>
        <w:jc w:val="left"/>
        <w:rPr>
          <w:rFonts w:hint="eastAsia" w:ascii="宋体" w:hAnsi="宋体" w:cs="宋体"/>
          <w:b/>
          <w:color w:val="auto"/>
          <w:szCs w:val="21"/>
          <w:highlight w:val="none"/>
        </w:rPr>
      </w:pPr>
    </w:p>
    <w:p w14:paraId="6C6EF5A4">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二、</w:t>
      </w:r>
      <w:r>
        <w:rPr>
          <w:rFonts w:hint="eastAsia"/>
          <w:color w:val="auto"/>
          <w:highlight w:val="none"/>
        </w:rPr>
        <w:t>中标人工作基本要求</w:t>
      </w:r>
    </w:p>
    <w:p w14:paraId="7C5730EA">
      <w:pPr>
        <w:numPr>
          <w:ilvl w:val="1"/>
          <w:numId w:val="2"/>
        </w:numPr>
        <w:tabs>
          <w:tab w:val="left" w:pos="426"/>
        </w:tabs>
        <w:adjustRightInd w:val="0"/>
        <w:snapToGrid w:val="0"/>
        <w:spacing w:line="360" w:lineRule="auto"/>
        <w:ind w:left="0" w:firstLine="0"/>
        <w:jc w:val="left"/>
        <w:rPr>
          <w:rFonts w:hint="eastAsia" w:ascii="宋体" w:hAnsi="宋体" w:cs="宋体"/>
          <w:b/>
          <w:bCs/>
          <w:color w:val="auto"/>
          <w:kern w:val="0"/>
          <w:szCs w:val="21"/>
          <w:highlight w:val="none"/>
        </w:rPr>
      </w:pPr>
      <w:bookmarkStart w:id="8" w:name="OLE_LINK138"/>
      <w:bookmarkStart w:id="9" w:name="OLE_LINK139"/>
      <w:bookmarkStart w:id="10" w:name="OLE_LINK50"/>
      <w:bookmarkStart w:id="11" w:name="OLE_LINK49"/>
      <w:r>
        <w:rPr>
          <w:rFonts w:hint="eastAsia" w:ascii="宋体" w:hAnsi="宋体" w:cs="宋体"/>
          <w:b/>
          <w:bCs/>
          <w:color w:val="auto"/>
          <w:kern w:val="0"/>
          <w:szCs w:val="21"/>
          <w:highlight w:val="none"/>
        </w:rPr>
        <w:t>★</w:t>
      </w:r>
      <w:bookmarkEnd w:id="8"/>
      <w:bookmarkEnd w:id="9"/>
      <w:bookmarkStart w:id="12" w:name="OLE_LINK137"/>
      <w:bookmarkStart w:id="13" w:name="OLE_LINK136"/>
      <w:r>
        <w:rPr>
          <w:rFonts w:hint="eastAsia" w:ascii="宋体" w:hAnsi="宋体" w:cs="宋体"/>
          <w:b/>
          <w:bCs/>
          <w:color w:val="auto"/>
          <w:kern w:val="0"/>
          <w:szCs w:val="21"/>
          <w:highlight w:val="none"/>
        </w:rPr>
        <w:t>中标人在生产前必须提供本项目家具生产原材料（</w:t>
      </w:r>
      <w:bookmarkStart w:id="14" w:name="OLE_LINK146"/>
      <w:bookmarkStart w:id="15" w:name="OLE_LINK147"/>
      <w:r>
        <w:rPr>
          <w:rFonts w:hint="eastAsia" w:ascii="宋体" w:hAnsi="宋体" w:cs="宋体"/>
          <w:b/>
          <w:bCs/>
          <w:color w:val="auto"/>
          <w:kern w:val="0"/>
          <w:szCs w:val="21"/>
          <w:highlight w:val="none"/>
        </w:rPr>
        <w:t>油漆</w:t>
      </w:r>
      <w:bookmarkEnd w:id="14"/>
      <w:bookmarkEnd w:id="15"/>
      <w:r>
        <w:rPr>
          <w:rFonts w:hint="eastAsia" w:ascii="宋体" w:hAnsi="宋体" w:cs="宋体"/>
          <w:b/>
          <w:bCs/>
          <w:color w:val="auto"/>
          <w:kern w:val="0"/>
          <w:szCs w:val="21"/>
          <w:highlight w:val="none"/>
          <w:lang w:val="en-US" w:eastAsia="zh-CN"/>
        </w:rPr>
        <w:t>等</w:t>
      </w:r>
      <w:r>
        <w:rPr>
          <w:rFonts w:hint="eastAsia" w:ascii="宋体" w:hAnsi="宋体" w:cs="宋体"/>
          <w:b/>
          <w:bCs/>
          <w:color w:val="auto"/>
          <w:kern w:val="0"/>
          <w:szCs w:val="21"/>
          <w:highlight w:val="none"/>
        </w:rPr>
        <w:t>）的</w:t>
      </w:r>
      <w:bookmarkStart w:id="16" w:name="OLE_LINK149"/>
      <w:bookmarkStart w:id="17" w:name="OLE_LINK148"/>
      <w:r>
        <w:rPr>
          <w:rFonts w:hint="eastAsia" w:ascii="宋体" w:hAnsi="宋体" w:cs="宋体"/>
          <w:b/>
          <w:bCs/>
          <w:color w:val="auto"/>
          <w:kern w:val="0"/>
          <w:szCs w:val="21"/>
          <w:highlight w:val="none"/>
        </w:rPr>
        <w:t>《国家认可的第三方检测机构出具的有CMA或CNAS认证标识的检验报告》</w:t>
      </w:r>
      <w:bookmarkEnd w:id="16"/>
      <w:bookmarkEnd w:id="17"/>
      <w:r>
        <w:rPr>
          <w:rFonts w:hint="eastAsia" w:ascii="宋体" w:hAnsi="宋体" w:cs="宋体"/>
          <w:b/>
          <w:bCs/>
          <w:color w:val="auto"/>
          <w:kern w:val="0"/>
          <w:szCs w:val="21"/>
          <w:highlight w:val="none"/>
        </w:rPr>
        <w:t>；在家具成品制作完成后，须将招标人指定的成品家具交由招标人独立委托的第三方检测机构进行抽样检测并合格（如需破坏性试验，实验结果为合格，由招标人承担家具破损费用；实验结果为不合格，由中标人承担家具破损费用）。</w:t>
      </w:r>
      <w:bookmarkEnd w:id="12"/>
      <w:bookmarkEnd w:id="13"/>
      <w:r>
        <w:rPr>
          <w:rFonts w:hint="eastAsia" w:ascii="宋体" w:hAnsi="宋体" w:cs="宋体"/>
          <w:b/>
          <w:bCs/>
          <w:color w:val="auto"/>
          <w:kern w:val="0"/>
          <w:szCs w:val="21"/>
          <w:highlight w:val="none"/>
        </w:rPr>
        <w:t>（格式详见“第六部分</w:t>
      </w:r>
      <w:r>
        <w:rPr>
          <w:rFonts w:ascii="宋体" w:hAnsi="宋体" w:cs="宋体"/>
          <w:b/>
          <w:bCs/>
          <w:color w:val="auto"/>
          <w:kern w:val="0"/>
          <w:szCs w:val="21"/>
          <w:highlight w:val="none"/>
        </w:rPr>
        <w:t xml:space="preserve"> </w:t>
      </w:r>
      <w:r>
        <w:rPr>
          <w:rFonts w:hint="eastAsia" w:ascii="宋体" w:hAnsi="宋体" w:cs="宋体"/>
          <w:b/>
          <w:bCs/>
          <w:color w:val="auto"/>
          <w:kern w:val="0"/>
          <w:szCs w:val="21"/>
          <w:highlight w:val="none"/>
        </w:rPr>
        <w:t>投标文件格式”《3.5 投标承诺书》）</w:t>
      </w:r>
    </w:p>
    <w:p w14:paraId="5419D009">
      <w:pPr>
        <w:numPr>
          <w:ilvl w:val="1"/>
          <w:numId w:val="2"/>
        </w:numPr>
        <w:tabs>
          <w:tab w:val="left" w:pos="426"/>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b/>
          <w:bCs/>
          <w:color w:val="auto"/>
          <w:kern w:val="0"/>
          <w:szCs w:val="21"/>
          <w:highlight w:val="none"/>
        </w:rPr>
        <w:t>★合同签订后</w:t>
      </w:r>
      <w:r>
        <w:rPr>
          <w:rFonts w:hint="eastAsia" w:ascii="宋体" w:hAnsi="宋体" w:cs="宋体"/>
          <w:b/>
          <w:color w:val="auto"/>
          <w:kern w:val="0"/>
          <w:szCs w:val="21"/>
          <w:highlight w:val="none"/>
        </w:rPr>
        <w:t>中标人负责家具工艺及具体尺寸的深化，按深化设计要求订制加工家具产品，生产过程中的品质监督。在生产家具前，必须先提供材料及成品样板（除另外说明的）给招标人，待确认后才进行订购或生产。</w:t>
      </w:r>
      <w:r>
        <w:rPr>
          <w:rFonts w:hint="eastAsia" w:hAnsi="宋体" w:cs="宋体"/>
          <w:b/>
          <w:color w:val="auto"/>
          <w:szCs w:val="24"/>
          <w:highlight w:val="none"/>
        </w:rPr>
        <w:t>（格式详见“第六部分</w:t>
      </w:r>
      <w:r>
        <w:rPr>
          <w:rFonts w:hAnsi="宋体" w:cs="宋体"/>
          <w:b/>
          <w:color w:val="auto"/>
          <w:szCs w:val="24"/>
          <w:highlight w:val="none"/>
        </w:rPr>
        <w:t xml:space="preserve"> </w:t>
      </w:r>
      <w:r>
        <w:rPr>
          <w:rFonts w:hint="eastAsia" w:hAnsi="宋体" w:cs="宋体"/>
          <w:b/>
          <w:color w:val="auto"/>
          <w:szCs w:val="24"/>
          <w:highlight w:val="none"/>
        </w:rPr>
        <w:t>投标文件格式”《3.5 投标承诺书》）</w:t>
      </w:r>
    </w:p>
    <w:p w14:paraId="10797DEE">
      <w:pPr>
        <w:numPr>
          <w:ilvl w:val="1"/>
          <w:numId w:val="2"/>
        </w:numPr>
        <w:tabs>
          <w:tab w:val="left" w:pos="426"/>
        </w:tabs>
        <w:adjustRightInd w:val="0"/>
        <w:snapToGrid w:val="0"/>
        <w:spacing w:line="360" w:lineRule="auto"/>
        <w:ind w:left="0" w:firstLine="0"/>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中标人应清楚了解本项目家具采购报价清单内的图纸、材料样品及其他技术要求。</w:t>
      </w:r>
    </w:p>
    <w:p w14:paraId="47342B27">
      <w:pPr>
        <w:numPr>
          <w:ilvl w:val="1"/>
          <w:numId w:val="2"/>
        </w:numPr>
        <w:tabs>
          <w:tab w:val="left" w:pos="426"/>
        </w:tabs>
        <w:adjustRightInd w:val="0"/>
        <w:snapToGrid w:val="0"/>
        <w:spacing w:line="360" w:lineRule="auto"/>
        <w:ind w:left="0" w:firstLine="0"/>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按清单内容及现场考察情况统计完善所需家具的完整数据，并向招标人确认。</w:t>
      </w:r>
    </w:p>
    <w:p w14:paraId="6A2C8F2B">
      <w:pPr>
        <w:numPr>
          <w:ilvl w:val="1"/>
          <w:numId w:val="2"/>
        </w:numPr>
        <w:tabs>
          <w:tab w:val="left" w:pos="426"/>
        </w:tabs>
        <w:adjustRightInd w:val="0"/>
        <w:snapToGrid w:val="0"/>
        <w:spacing w:line="360" w:lineRule="auto"/>
        <w:ind w:left="0" w:firstLine="0"/>
        <w:jc w:val="left"/>
        <w:rPr>
          <w:rFonts w:hint="eastAsia" w:ascii="宋体" w:hAnsi="宋体" w:cs="宋体"/>
          <w:bCs/>
          <w:color w:val="auto"/>
          <w:kern w:val="0"/>
          <w:szCs w:val="21"/>
          <w:highlight w:val="none"/>
        </w:rPr>
      </w:pPr>
      <w:r>
        <w:rPr>
          <w:rFonts w:hint="eastAsia" w:ascii="宋体" w:hAnsi="宋体" w:cs="宋体"/>
          <w:bCs/>
          <w:color w:val="auto"/>
          <w:kern w:val="0"/>
          <w:szCs w:val="21"/>
          <w:highlight w:val="none"/>
        </w:rPr>
        <w:t>中标人应了解及协调现</w:t>
      </w:r>
      <w:r>
        <w:rPr>
          <w:rFonts w:hint="eastAsia" w:ascii="宋体" w:hAnsi="宋体" w:cs="宋体"/>
          <w:bCs/>
          <w:color w:val="auto"/>
          <w:kern w:val="0"/>
          <w:szCs w:val="21"/>
          <w:highlight w:val="none"/>
          <w:lang w:eastAsia="zh-CN"/>
        </w:rPr>
        <w:t>宿舍</w:t>
      </w:r>
      <w:r>
        <w:rPr>
          <w:rFonts w:hint="eastAsia" w:ascii="宋体" w:hAnsi="宋体" w:cs="宋体"/>
          <w:bCs/>
          <w:color w:val="auto"/>
          <w:kern w:val="0"/>
          <w:szCs w:val="21"/>
          <w:highlight w:val="none"/>
        </w:rPr>
        <w:t>硬装情况，以便本次采购家具进场摆设能顺利进行。</w:t>
      </w:r>
    </w:p>
    <w:bookmarkEnd w:id="10"/>
    <w:bookmarkEnd w:id="11"/>
    <w:p w14:paraId="69F149AC">
      <w:pPr>
        <w:numPr>
          <w:ilvl w:val="1"/>
          <w:numId w:val="2"/>
        </w:numPr>
        <w:tabs>
          <w:tab w:val="left" w:pos="426"/>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拼装型家具的现场组装，需按招标人要求的质量、供货周期和供货数量提供优良的家具产品。</w:t>
      </w:r>
    </w:p>
    <w:p w14:paraId="6DB0B8FE">
      <w:pPr>
        <w:numPr>
          <w:ilvl w:val="1"/>
          <w:numId w:val="2"/>
        </w:numPr>
        <w:tabs>
          <w:tab w:val="left" w:pos="426"/>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中标人未能根据用户需求清单说明的设计要求，必须提前提交相等质量和设计要求的选择予招标人审批。</w:t>
      </w:r>
    </w:p>
    <w:p w14:paraId="0975C73F">
      <w:pPr>
        <w:numPr>
          <w:ilvl w:val="1"/>
          <w:numId w:val="2"/>
        </w:numPr>
        <w:tabs>
          <w:tab w:val="left" w:pos="426"/>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中标人必须提交所有定制品的节点图予</w:t>
      </w:r>
      <w:r>
        <w:rPr>
          <w:rFonts w:hint="eastAsia" w:ascii="宋体" w:hAnsi="宋体" w:cs="宋体"/>
          <w:color w:val="auto"/>
          <w:kern w:val="0"/>
          <w:szCs w:val="21"/>
          <w:highlight w:val="none"/>
          <w:lang w:val="en-US" w:eastAsia="zh-CN"/>
        </w:rPr>
        <w:t>招标人</w:t>
      </w:r>
      <w:r>
        <w:rPr>
          <w:rFonts w:hint="eastAsia" w:ascii="宋体" w:hAnsi="宋体" w:cs="宋体"/>
          <w:color w:val="auto"/>
          <w:kern w:val="0"/>
          <w:szCs w:val="21"/>
          <w:highlight w:val="none"/>
        </w:rPr>
        <w:t>审批。</w:t>
      </w:r>
    </w:p>
    <w:p w14:paraId="6A4D5E71">
      <w:pPr>
        <w:numPr>
          <w:ilvl w:val="1"/>
          <w:numId w:val="2"/>
        </w:numPr>
        <w:tabs>
          <w:tab w:val="left" w:pos="426"/>
          <w:tab w:val="left" w:pos="709"/>
          <w:tab w:val="left" w:pos="851"/>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中标人必须留意生产的前期需求。</w:t>
      </w:r>
    </w:p>
    <w:p w14:paraId="4E438AEC">
      <w:pPr>
        <w:numPr>
          <w:ilvl w:val="1"/>
          <w:numId w:val="2"/>
        </w:numPr>
        <w:tabs>
          <w:tab w:val="left" w:pos="426"/>
          <w:tab w:val="left" w:pos="851"/>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负责家具产品供应到招标人指定到场地点之前，全部运输、运输保险等工作。</w:t>
      </w:r>
    </w:p>
    <w:p w14:paraId="055EE175">
      <w:pPr>
        <w:numPr>
          <w:ilvl w:val="1"/>
          <w:numId w:val="2"/>
        </w:numPr>
        <w:tabs>
          <w:tab w:val="left" w:pos="426"/>
          <w:tab w:val="left" w:pos="851"/>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安排专业的项目技术人员现场指导部分组装家具，确保整个项目供货顺利进行。</w:t>
      </w:r>
    </w:p>
    <w:p w14:paraId="20B5B3EE">
      <w:pPr>
        <w:tabs>
          <w:tab w:val="left" w:pos="284"/>
          <w:tab w:val="left" w:pos="851"/>
        </w:tabs>
        <w:adjustRightInd w:val="0"/>
        <w:snapToGrid w:val="0"/>
        <w:spacing w:line="360" w:lineRule="auto"/>
        <w:jc w:val="left"/>
        <w:rPr>
          <w:rFonts w:hint="eastAsia" w:ascii="宋体" w:hAnsi="宋体" w:cs="宋体"/>
          <w:color w:val="auto"/>
          <w:kern w:val="0"/>
          <w:szCs w:val="21"/>
          <w:highlight w:val="none"/>
        </w:rPr>
      </w:pPr>
    </w:p>
    <w:p w14:paraId="5A6CAE49">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三、</w:t>
      </w:r>
      <w:r>
        <w:rPr>
          <w:rFonts w:hint="eastAsia"/>
          <w:color w:val="auto"/>
          <w:highlight w:val="none"/>
        </w:rPr>
        <w:t>报价及结算要求</w:t>
      </w:r>
    </w:p>
    <w:p w14:paraId="3F787D5A">
      <w:pPr>
        <w:numPr>
          <w:ilvl w:val="3"/>
          <w:numId w:val="2"/>
        </w:numPr>
        <w:tabs>
          <w:tab w:val="left" w:pos="426"/>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报价应含本体及附配件的设计、制造、包装、运输（运至招标人指定现场）、验收、验收后的实物移交、技术服务（包括设计联络、技术资料、图纸的提供）、指导培训招标人相关工作人员对家具的日常清洁维保、质保期及质保期内维护保养及其他相关服务内容、增值税等。</w:t>
      </w:r>
    </w:p>
    <w:p w14:paraId="56CF0330">
      <w:pPr>
        <w:numPr>
          <w:ilvl w:val="3"/>
          <w:numId w:val="2"/>
        </w:numPr>
        <w:tabs>
          <w:tab w:val="left" w:pos="420"/>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相关服务包含：</w:t>
      </w:r>
    </w:p>
    <w:p w14:paraId="56583968">
      <w:pPr>
        <w:tabs>
          <w:tab w:val="left" w:pos="42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a、负责家具具体尺寸图纸的深化设计，需按照现场条件进行尺寸复核后才能排产；</w:t>
      </w:r>
    </w:p>
    <w:p w14:paraId="7CE0FF7D">
      <w:pPr>
        <w:tabs>
          <w:tab w:val="left" w:pos="42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b、指导培训招标人相关人员的使用操作及安全须知等；</w:t>
      </w:r>
    </w:p>
    <w:p w14:paraId="3A9B0F96">
      <w:pPr>
        <w:tabs>
          <w:tab w:val="left" w:pos="42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c、质保期内的维修保养服务和质保期外的维修保养计划。</w:t>
      </w:r>
    </w:p>
    <w:p w14:paraId="20A5F834">
      <w:pPr>
        <w:numPr>
          <w:ilvl w:val="3"/>
          <w:numId w:val="2"/>
        </w:numPr>
        <w:tabs>
          <w:tab w:val="left" w:pos="420"/>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招标人有权对同等规格、材料的家具进行局部款式变更（如布料颜色、木纹种类变更），其报价不变。</w:t>
      </w:r>
    </w:p>
    <w:p w14:paraId="18AC63C1">
      <w:pPr>
        <w:numPr>
          <w:ilvl w:val="3"/>
          <w:numId w:val="2"/>
        </w:numPr>
        <w:tabs>
          <w:tab w:val="left" w:pos="426"/>
        </w:tabs>
        <w:adjustRightInd w:val="0"/>
        <w:snapToGrid w:val="0"/>
        <w:spacing w:line="360" w:lineRule="auto"/>
        <w:ind w:left="0" w:firstLine="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本项目采购报价清单中家具数量为暂定数量，最终以实际发生的结算。</w:t>
      </w:r>
    </w:p>
    <w:p w14:paraId="4939D978">
      <w:pPr>
        <w:tabs>
          <w:tab w:val="left" w:pos="567"/>
        </w:tabs>
        <w:adjustRightInd w:val="0"/>
        <w:snapToGrid w:val="0"/>
        <w:spacing w:line="360" w:lineRule="auto"/>
        <w:jc w:val="left"/>
        <w:rPr>
          <w:rFonts w:hint="eastAsia" w:ascii="宋体" w:hAnsi="宋体" w:cs="宋体"/>
          <w:color w:val="auto"/>
          <w:kern w:val="0"/>
          <w:szCs w:val="21"/>
          <w:highlight w:val="none"/>
        </w:rPr>
      </w:pPr>
    </w:p>
    <w:p w14:paraId="5EA123E9">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四、</w:t>
      </w:r>
      <w:r>
        <w:rPr>
          <w:rFonts w:hint="eastAsia"/>
          <w:color w:val="auto"/>
          <w:highlight w:val="none"/>
        </w:rPr>
        <w:t>包装、保险及发运、保管要求</w:t>
      </w:r>
    </w:p>
    <w:p w14:paraId="1439C2F2">
      <w:pPr>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1、材料的包装必须是制造商原厂包装，其包装均应有良好的防湿、防锈、防潮、防雨、防腐及防碰撞的措施。凡由于包装不良造成的损失和由此产生的费用均由投标人承担。</w:t>
      </w:r>
    </w:p>
    <w:p w14:paraId="3F62D4E2">
      <w:pPr>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2、中标人负责将设备材料货到现场过程中的全部运输，包括装卸车、货物现场的搬运。</w:t>
      </w:r>
    </w:p>
    <w:p w14:paraId="63FA5C7C">
      <w:pPr>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3、各种原材料必须提供装箱清单，按装箱清单验收货物。</w:t>
      </w:r>
    </w:p>
    <w:p w14:paraId="27BB5FA5">
      <w:pPr>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4、材料在现场的保管由中标人负责，直至项目安装、验收完毕。</w:t>
      </w:r>
    </w:p>
    <w:p w14:paraId="5C0F2828">
      <w:pPr>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5、材料至招标人指定的使用现场的包装、保险及发运等环节和费用均由中标人负责。</w:t>
      </w:r>
    </w:p>
    <w:p w14:paraId="73996CBE">
      <w:pPr>
        <w:tabs>
          <w:tab w:val="left" w:pos="2340"/>
        </w:tabs>
        <w:adjustRightInd w:val="0"/>
        <w:snapToGrid w:val="0"/>
        <w:spacing w:line="360" w:lineRule="auto"/>
        <w:jc w:val="left"/>
        <w:rPr>
          <w:rFonts w:hint="eastAsia" w:ascii="宋体" w:hAnsi="宋体" w:cs="宋体"/>
          <w:color w:val="auto"/>
          <w:kern w:val="0"/>
          <w:szCs w:val="21"/>
          <w:highlight w:val="none"/>
        </w:rPr>
      </w:pPr>
    </w:p>
    <w:p w14:paraId="63290C30">
      <w:pPr>
        <w:pStyle w:val="4"/>
        <w:numPr>
          <w:ilvl w:val="0"/>
          <w:numId w:val="0"/>
        </w:numPr>
        <w:ind w:left="440" w:leftChars="0" w:hanging="440" w:firstLineChars="0"/>
        <w:rPr>
          <w:rFonts w:hint="eastAsia"/>
          <w:color w:val="auto"/>
          <w:highlight w:val="none"/>
        </w:rPr>
      </w:pPr>
      <w:bookmarkStart w:id="18" w:name="OLE_LINK18"/>
      <w:bookmarkStart w:id="19" w:name="OLE_LINK19"/>
      <w:r>
        <w:rPr>
          <w:rFonts w:hint="eastAsia" w:cs="宋体" w:asciiTheme="minorEastAsia" w:hAnsiTheme="minorEastAsia" w:eastAsiaTheme="minorEastAsia"/>
          <w:b/>
          <w:bCs/>
          <w:color w:val="auto"/>
          <w:kern w:val="0"/>
          <w:sz w:val="21"/>
          <w:szCs w:val="21"/>
          <w:lang w:val="en-US" w:eastAsia="zh-CN" w:bidi="ar-SA"/>
        </w:rPr>
        <w:t>五、</w:t>
      </w:r>
      <w:r>
        <w:rPr>
          <w:rFonts w:hint="eastAsia"/>
          <w:color w:val="auto"/>
          <w:highlight w:val="none"/>
        </w:rPr>
        <w:t>安装、调试与验收</w:t>
      </w:r>
    </w:p>
    <w:bookmarkEnd w:id="18"/>
    <w:bookmarkEnd w:id="19"/>
    <w:p w14:paraId="1BE0BAC2">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1、货物若有国家标准按照国家标准验收，若无国家标准按行业标准验收，为原制造商制造的全新产品，整机无污染，无侵权行为、表面无划损、无任何缺陷隐患，在中国境内可依常规安全合法使用。 </w:t>
      </w:r>
    </w:p>
    <w:p w14:paraId="1D0D6EA1">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2、货物为原厂商未启封全新包装，具出厂合格证，序列号、包装箱号与出厂批号一致，并可追索查阅。所有随设备的附件必须齐全。</w:t>
      </w:r>
    </w:p>
    <w:p w14:paraId="1D76F081">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3、中标人应将设备的用户手册、保修手册、有关单证资料及配备件、随机工具等交付给招标人，使用操作及安全须知等重要资料应附有中文说明。</w:t>
      </w:r>
    </w:p>
    <w:p w14:paraId="7829FEF7">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4、招标人组成验收小组按国家有关规定、规范进行验收，必要时邀请相关的专业人员或机构参与验收。因货物质量问题发生争议时，由质量技术监督部门鉴定。</w:t>
      </w:r>
    </w:p>
    <w:p w14:paraId="6A3B7427">
      <w:pPr>
        <w:tabs>
          <w:tab w:val="left" w:pos="284"/>
        </w:tabs>
        <w:adjustRightInd w:val="0"/>
        <w:snapToGrid w:val="0"/>
        <w:spacing w:line="360" w:lineRule="auto"/>
        <w:jc w:val="left"/>
        <w:rPr>
          <w:rFonts w:hint="eastAsia" w:ascii="宋体" w:hAnsi="宋体" w:cs="宋体"/>
          <w:b/>
          <w:color w:val="auto"/>
          <w:kern w:val="0"/>
          <w:szCs w:val="21"/>
          <w:highlight w:val="none"/>
        </w:rPr>
      </w:pPr>
    </w:p>
    <w:p w14:paraId="6C8A38AB">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六、</w:t>
      </w:r>
      <w:r>
        <w:rPr>
          <w:rFonts w:hint="eastAsia"/>
          <w:color w:val="auto"/>
          <w:highlight w:val="none"/>
        </w:rPr>
        <w:t>质保期及售后服务要求</w:t>
      </w:r>
    </w:p>
    <w:p w14:paraId="0FB431E2">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1、产品质量保证期（简称“质保期”）为不少于</w:t>
      </w:r>
      <w:r>
        <w:rPr>
          <w:rFonts w:hint="eastAsia" w:ascii="宋体" w:hAnsi="宋体" w:cs="宋体"/>
          <w:color w:val="auto"/>
          <w:kern w:val="0"/>
          <w:szCs w:val="21"/>
          <w:highlight w:val="none"/>
          <w:u w:val="single"/>
          <w:lang w:val="en-US" w:eastAsia="zh-CN"/>
        </w:rPr>
        <w:t>1</w:t>
      </w:r>
      <w:r>
        <w:rPr>
          <w:rFonts w:hint="eastAsia" w:ascii="宋体" w:hAnsi="宋体" w:cs="宋体"/>
          <w:color w:val="auto"/>
          <w:kern w:val="0"/>
          <w:szCs w:val="21"/>
          <w:highlight w:val="none"/>
          <w:u w:val="single"/>
        </w:rPr>
        <w:t>年</w:t>
      </w:r>
      <w:r>
        <w:rPr>
          <w:rFonts w:hint="eastAsia" w:ascii="宋体" w:hAnsi="宋体" w:cs="宋体"/>
          <w:color w:val="auto"/>
          <w:kern w:val="0"/>
          <w:szCs w:val="21"/>
          <w:highlight w:val="none"/>
        </w:rPr>
        <w:t>，由招标人和中标人双方签署验收合格证书并办理项目移交之日算起；质保期内中标人对所供货物实行包修、包换、包退、包维护保养，期满后可同时提供终身(有偿)维修保养服务。</w:t>
      </w:r>
    </w:p>
    <w:p w14:paraId="07E6CAE6">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2、质保期内，如家具或零部件因非人为因素出现故障而造成短期停用时，则质保期和免费维修期相应顺延。如停用时间累计超过60天则质保期重新计算。</w:t>
      </w:r>
    </w:p>
    <w:p w14:paraId="4FBEFF3B">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对招标人的服务通知，中标人在接到维修人报修电话60分钟内响应，如货物出现故障，电话响应无法解决，24小时内到达现场，48小时内处理完毕。若在48小时内仍未能有效解决，中标人须免费提供同档次的产品予招标人临时使用。</w:t>
      </w:r>
    </w:p>
    <w:p w14:paraId="5388BF50">
      <w:pPr>
        <w:tabs>
          <w:tab w:val="left" w:pos="2340"/>
        </w:tabs>
        <w:adjustRightInd w:val="0"/>
        <w:snapToGrid w:val="0"/>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4、中标人在供货时必须提供厂家出具的质保书及售后服务承诺书；</w:t>
      </w:r>
    </w:p>
    <w:p w14:paraId="22C74B42">
      <w:pPr>
        <w:tabs>
          <w:tab w:val="left" w:pos="2340"/>
        </w:tabs>
        <w:adjustRightInd w:val="0"/>
        <w:snapToGrid w:val="0"/>
        <w:spacing w:line="360" w:lineRule="auto"/>
        <w:jc w:val="left"/>
        <w:rPr>
          <w:rFonts w:hint="eastAsia" w:ascii="宋体" w:hAnsi="宋体" w:cs="宋体"/>
          <w:b/>
          <w:color w:val="auto"/>
          <w:szCs w:val="21"/>
          <w:highlight w:val="none"/>
        </w:rPr>
      </w:pPr>
      <w:r>
        <w:rPr>
          <w:rFonts w:hint="eastAsia" w:ascii="宋体" w:hAnsi="宋体" w:cs="宋体"/>
          <w:color w:val="auto"/>
          <w:kern w:val="0"/>
          <w:szCs w:val="21"/>
          <w:highlight w:val="none"/>
        </w:rPr>
        <w:t>5、中标人须每年定期派人到用户现场进行检查及维护一次。</w:t>
      </w:r>
    </w:p>
    <w:p w14:paraId="01F95F7C">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七、</w:t>
      </w:r>
      <w:r>
        <w:rPr>
          <w:rFonts w:hint="eastAsia"/>
          <w:color w:val="auto"/>
          <w:highlight w:val="none"/>
          <w:lang w:val="en-US" w:eastAsia="zh-CN"/>
        </w:rPr>
        <w:t>重要</w:t>
      </w:r>
      <w:r>
        <w:rPr>
          <w:rFonts w:hint="eastAsia"/>
          <w:color w:val="auto"/>
          <w:highlight w:val="none"/>
        </w:rPr>
        <w:t>技术要求</w:t>
      </w:r>
    </w:p>
    <w:tbl>
      <w:tblPr>
        <w:tblStyle w:val="22"/>
        <w:tblW w:w="88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98"/>
      </w:tblGrid>
      <w:tr w14:paraId="39E61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342B8">
            <w:pPr>
              <w:keepNext w:val="0"/>
              <w:keepLines w:val="0"/>
              <w:widowControl/>
              <w:suppressLineNumbers w:val="0"/>
              <w:jc w:val="left"/>
              <w:textAlignment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“▲”1、床：床体所用木料要求为A级榉木木料，可拼板（不接受驳接板），无节，整体水线比例少于20%，应力指标国家一级：除床板横梁可选用松木外，其余部分均选用无节原支榉木材料或原支拼板榉木材料；</w:t>
            </w:r>
          </w:p>
        </w:tc>
      </w:tr>
      <w:tr w14:paraId="3E52D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09DA">
            <w:pPr>
              <w:keepNext w:val="0"/>
              <w:keepLines w:val="0"/>
              <w:widowControl/>
              <w:suppressLineNumbers w:val="0"/>
              <w:jc w:val="left"/>
              <w:textAlignment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“▲”2、结构：安装结构为金属钩榫结构；</w:t>
            </w:r>
          </w:p>
        </w:tc>
      </w:tr>
      <w:tr w14:paraId="6CCC5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FA73F">
            <w:pPr>
              <w:keepNext w:val="0"/>
              <w:keepLines w:val="0"/>
              <w:widowControl/>
              <w:suppressLineNumbers w:val="0"/>
              <w:jc w:val="left"/>
              <w:textAlignment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3、工艺：床板横梁采用UV光固化底漆+双组份环保水性面漆，其它板件采用油漆闭木眼工艺：喷封闭漆—打磨—喷PE底漆—打磨—喷面漆（双组份环保水性面漆），油漆采用环保水性漆（提供国家认可的第三方检测机构出具的有CMA或CNAS认证标识的检验报告，PU透明底漆检测报告（判定依据GB 18581-2020《木器涂料中有害物质限量》(溶剂型涂料聚氨酯类底漆)、GB/T 23997-2009《室内装饰装修用溶剂型聚氨酯木器涂料》(通用底漆)），</w:t>
            </w:r>
            <w:r>
              <w:rPr>
                <w:rFonts w:hint="eastAsia" w:ascii="宋体" w:hAnsi="宋体" w:cs="宋体"/>
                <w:b/>
                <w:bCs/>
                <w:color w:val="auto"/>
                <w:highlight w:val="none"/>
                <w:lang w:val="en-US" w:eastAsia="zh-CN"/>
              </w:rPr>
              <w:t>水性双组份清面漆检测报告</w:t>
            </w:r>
            <w:r>
              <w:rPr>
                <w:rFonts w:hint="eastAsia" w:ascii="宋体" w:hAnsi="宋体" w:cs="宋体"/>
                <w:color w:val="auto"/>
                <w:highlight w:val="none"/>
                <w:lang w:val="en-US" w:eastAsia="zh-CN"/>
              </w:rPr>
              <w:t>（判定依据 GB 18581-2020《木器涂料中有害物质限量》(水性涂料 清漆)GB/T 23999-2009《室内装饰装修用水性木器涂料》(B类)），</w:t>
            </w:r>
            <w:r>
              <w:rPr>
                <w:rFonts w:hint="eastAsia" w:ascii="宋体" w:hAnsi="宋体" w:cs="宋体"/>
                <w:b/>
                <w:bCs/>
                <w:color w:val="auto"/>
                <w:highlight w:val="none"/>
                <w:lang w:val="en-US" w:eastAsia="zh-CN"/>
              </w:rPr>
              <w:t>水性透明底漆检测报告</w:t>
            </w:r>
            <w:r>
              <w:rPr>
                <w:rFonts w:hint="eastAsia" w:ascii="宋体" w:hAnsi="宋体" w:cs="宋体"/>
                <w:color w:val="auto"/>
                <w:highlight w:val="none"/>
                <w:lang w:val="en-US" w:eastAsia="zh-CN"/>
              </w:rPr>
              <w:t>（判定依据GB 18581-2020《木器涂料中有害物质限量》(水性涂料 清漆)GB/T 23999-2009《室内装饰装修用水性木器涂料》(D类)））；</w:t>
            </w:r>
          </w:p>
        </w:tc>
      </w:tr>
      <w:tr w14:paraId="2CB4B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F99A">
            <w:pPr>
              <w:keepNext w:val="0"/>
              <w:keepLines w:val="0"/>
              <w:widowControl/>
              <w:suppressLineNumbers w:val="0"/>
              <w:jc w:val="left"/>
              <w:textAlignment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“▲”4、柜体板材厚度为18mmm，柜门板材厚度22mmm，柜体背板板材厚度9mm;</w:t>
            </w:r>
          </w:p>
        </w:tc>
      </w:tr>
      <w:tr w14:paraId="573F7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F87B">
            <w:pPr>
              <w:keepNext w:val="0"/>
              <w:keepLines w:val="0"/>
              <w:widowControl/>
              <w:suppressLineNumbers w:val="0"/>
              <w:jc w:val="left"/>
              <w:textAlignment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“▲”5、床：床靠背板材厚度50/30/20mm,床板板材厚度15mm,床竖梁板材厚度30mm,床靠侧板（左右）板材厚度30mm,床褥后板板材厚度30mm,床脚板材厚度50mm;</w:t>
            </w:r>
          </w:p>
        </w:tc>
      </w:tr>
      <w:tr w14:paraId="23EC6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8E70">
            <w:pPr>
              <w:keepNext w:val="0"/>
              <w:keepLines w:val="0"/>
              <w:widowControl/>
              <w:suppressLineNumbers w:val="0"/>
              <w:jc w:val="left"/>
              <w:textAlignment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“▲”6、板材：环保等级</w:t>
            </w:r>
            <w:r>
              <w:rPr>
                <w:rFonts w:hint="eastAsia" w:ascii="宋体" w:hAnsi="宋体" w:cs="宋体"/>
                <w:color w:val="FF0000"/>
                <w:highlight w:val="none"/>
                <w:lang w:val="en-US" w:eastAsia="zh-CN"/>
              </w:rPr>
              <w:t>ENF级</w:t>
            </w:r>
            <w:r>
              <w:rPr>
                <w:rFonts w:hint="eastAsia" w:ascii="宋体" w:hAnsi="宋体" w:cs="宋体"/>
                <w:color w:val="auto"/>
                <w:highlight w:val="none"/>
                <w:lang w:val="en-US" w:eastAsia="zh-CN"/>
              </w:rPr>
              <w:t>；</w:t>
            </w:r>
          </w:p>
        </w:tc>
      </w:tr>
      <w:tr w14:paraId="17F8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CC8F">
            <w:pPr>
              <w:keepNext w:val="0"/>
              <w:keepLines w:val="0"/>
              <w:widowControl/>
              <w:suppressLineNumbers w:val="0"/>
              <w:jc w:val="left"/>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cs="宋体"/>
                <w:i w:val="0"/>
                <w:iCs w:val="0"/>
                <w:color w:val="auto"/>
                <w:kern w:val="0"/>
                <w:sz w:val="22"/>
                <w:szCs w:val="22"/>
                <w:highlight w:val="none"/>
                <w:u w:val="none"/>
                <w:lang w:val="en-US" w:eastAsia="zh-CN" w:bidi="ar"/>
              </w:rPr>
              <w:t>7</w:t>
            </w:r>
            <w:r>
              <w:rPr>
                <w:rFonts w:hint="eastAsia" w:ascii="宋体" w:hAnsi="宋体" w:eastAsia="宋体" w:cs="宋体"/>
                <w:i w:val="0"/>
                <w:iCs w:val="0"/>
                <w:color w:val="auto"/>
                <w:kern w:val="0"/>
                <w:sz w:val="22"/>
                <w:szCs w:val="22"/>
                <w:highlight w:val="none"/>
                <w:u w:val="none"/>
                <w:lang w:val="en-US" w:eastAsia="zh-CN" w:bidi="ar"/>
              </w:rPr>
              <w:t>、</w:t>
            </w:r>
            <w:r>
              <w:rPr>
                <w:rFonts w:hint="eastAsia" w:ascii="宋体" w:hAnsi="宋体" w:cs="宋体"/>
                <w:color w:val="auto"/>
                <w:highlight w:val="none"/>
                <w:lang w:val="en-US" w:eastAsia="zh-CN"/>
              </w:rPr>
              <w:t>五金件</w:t>
            </w:r>
            <w:r>
              <w:rPr>
                <w:rFonts w:hint="eastAsia" w:ascii="宋体" w:hAnsi="宋体" w:eastAsia="宋体" w:cs="宋体"/>
                <w:color w:val="auto"/>
                <w:highlight w:val="none"/>
                <w:lang w:val="en-US" w:eastAsia="zh-CN"/>
              </w:rPr>
              <w:t>：采用优质五金配件，间隙细小均匀无毛刺，三合一连接件符合GB/T 10125-2021等国家标准。</w:t>
            </w:r>
            <w:r>
              <w:rPr>
                <w:rFonts w:hint="eastAsia" w:ascii="宋体" w:hAnsi="宋体" w:cs="宋体"/>
                <w:color w:val="auto"/>
                <w:highlight w:val="none"/>
                <w:lang w:val="en-US" w:eastAsia="zh-CN"/>
              </w:rPr>
              <w:t>五金品牌为：海蒂斯、百隆、海福乐（三者其一）；</w:t>
            </w:r>
          </w:p>
        </w:tc>
      </w:tr>
      <w:tr w14:paraId="5FD38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D029F">
            <w:pPr>
              <w:keepNext w:val="0"/>
              <w:keepLines w:val="0"/>
              <w:widowControl/>
              <w:suppressLineNumbers w:val="0"/>
              <w:jc w:val="left"/>
              <w:textAlignment w:val="center"/>
              <w:rPr>
                <w:rFonts w:hint="default" w:ascii="宋体" w:hAnsi="宋体" w:cs="宋体"/>
                <w:i w:val="0"/>
                <w:iCs w:val="0"/>
                <w:color w:val="auto"/>
                <w:kern w:val="0"/>
                <w:sz w:val="22"/>
                <w:szCs w:val="22"/>
                <w:highlight w:val="none"/>
                <w:u w:val="none"/>
                <w:lang w:val="en-US" w:eastAsia="zh-CN" w:bidi="ar"/>
              </w:rPr>
            </w:pPr>
            <w:r>
              <w:rPr>
                <w:rFonts w:hint="eastAsia" w:ascii="宋体" w:hAnsi="宋体" w:eastAsia="宋体" w:cs="宋体"/>
                <w:color w:val="auto"/>
                <w:highlight w:val="none"/>
                <w:lang w:val="en-US" w:eastAsia="zh-CN"/>
              </w:rPr>
              <w:t>8、颜色要求：柜体颜色与床的颜色</w:t>
            </w:r>
            <w:r>
              <w:rPr>
                <w:rFonts w:hint="eastAsia" w:ascii="宋体" w:hAnsi="宋体" w:cs="宋体"/>
                <w:color w:val="auto"/>
                <w:highlight w:val="none"/>
                <w:lang w:val="en-US" w:eastAsia="zh-CN"/>
              </w:rPr>
              <w:t>基本</w:t>
            </w:r>
            <w:r>
              <w:rPr>
                <w:rFonts w:hint="eastAsia" w:ascii="宋体" w:hAnsi="宋体" w:eastAsia="宋体" w:cs="宋体"/>
                <w:color w:val="auto"/>
                <w:highlight w:val="none"/>
                <w:lang w:val="en-US" w:eastAsia="zh-CN"/>
              </w:rPr>
              <w:t>一致</w:t>
            </w:r>
            <w:r>
              <w:rPr>
                <w:rFonts w:hint="eastAsia" w:ascii="宋体" w:hAnsi="宋体" w:cs="宋体"/>
                <w:color w:val="auto"/>
                <w:highlight w:val="none"/>
                <w:lang w:val="en-US" w:eastAsia="zh-CN"/>
              </w:rPr>
              <w:t>；</w:t>
            </w:r>
          </w:p>
        </w:tc>
      </w:tr>
    </w:tbl>
    <w:p w14:paraId="1CDBB22B">
      <w:pPr>
        <w:tabs>
          <w:tab w:val="left" w:pos="284"/>
          <w:tab w:val="left" w:pos="567"/>
        </w:tabs>
        <w:adjustRightInd w:val="0"/>
        <w:snapToGrid w:val="0"/>
        <w:spacing w:line="360" w:lineRule="auto"/>
        <w:jc w:val="left"/>
        <w:rPr>
          <w:rFonts w:hint="eastAsia" w:ascii="宋体" w:hAnsi="宋体" w:cs="宋体"/>
          <w:color w:val="auto"/>
          <w:kern w:val="0"/>
          <w:sz w:val="22"/>
          <w:highlight w:val="none"/>
          <w:lang w:bidi="ar"/>
        </w:rPr>
      </w:pPr>
    </w:p>
    <w:p w14:paraId="4B912E6D">
      <w:pPr>
        <w:pStyle w:val="4"/>
        <w:numPr>
          <w:ilvl w:val="0"/>
          <w:numId w:val="0"/>
        </w:numPr>
        <w:ind w:left="440" w:leftChars="0" w:hanging="440" w:firstLineChars="0"/>
        <w:rPr>
          <w:rFonts w:hint="eastAsia" w:eastAsiaTheme="minorEastAsia"/>
          <w:color w:val="auto"/>
          <w:highlight w:val="none"/>
          <w:lang w:eastAsia="zh-CN"/>
        </w:rPr>
      </w:pPr>
      <w:r>
        <w:rPr>
          <w:rFonts w:hint="eastAsia" w:cs="宋体" w:asciiTheme="minorEastAsia" w:hAnsiTheme="minorEastAsia" w:eastAsiaTheme="minorEastAsia"/>
          <w:b/>
          <w:bCs/>
          <w:color w:val="auto"/>
          <w:kern w:val="0"/>
          <w:sz w:val="21"/>
          <w:szCs w:val="21"/>
          <w:lang w:val="en-US" w:eastAsia="zh-CN" w:bidi="ar-SA"/>
        </w:rPr>
        <w:t>八、</w:t>
      </w:r>
      <w:r>
        <w:rPr>
          <w:rFonts w:hint="eastAsia"/>
          <w:color w:val="auto"/>
          <w:highlight w:val="none"/>
          <w:lang w:val="en-US" w:eastAsia="zh-CN"/>
        </w:rPr>
        <w:t>招标</w:t>
      </w:r>
      <w:r>
        <w:rPr>
          <w:rFonts w:hint="eastAsia"/>
          <w:color w:val="auto"/>
          <w:highlight w:val="none"/>
        </w:rPr>
        <w:t>清单</w:t>
      </w:r>
      <w:r>
        <w:rPr>
          <w:rFonts w:hint="eastAsia"/>
          <w:color w:val="auto"/>
          <w:highlight w:val="none"/>
          <w:lang w:eastAsia="zh-CN"/>
        </w:rPr>
        <w:t>（</w:t>
      </w:r>
      <w:r>
        <w:rPr>
          <w:rFonts w:hint="eastAsia"/>
          <w:color w:val="auto"/>
          <w:highlight w:val="none"/>
          <w:lang w:val="en-US" w:eastAsia="zh-CN"/>
        </w:rPr>
        <w:t>详见招标清单附件</w:t>
      </w:r>
      <w:r>
        <w:rPr>
          <w:rFonts w:hint="eastAsia"/>
          <w:color w:val="auto"/>
          <w:highlight w:val="none"/>
          <w:lang w:eastAsia="zh-CN"/>
        </w:rPr>
        <w:t>）</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114"/>
        <w:gridCol w:w="846"/>
        <w:gridCol w:w="846"/>
        <w:gridCol w:w="846"/>
        <w:gridCol w:w="846"/>
        <w:gridCol w:w="846"/>
        <w:gridCol w:w="875"/>
        <w:gridCol w:w="1876"/>
      </w:tblGrid>
      <w:tr w14:paraId="77A5C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tcPr>
          <w:p w14:paraId="455717FF">
            <w:pPr>
              <w:bidi w:val="0"/>
              <w:jc w:val="center"/>
              <w:rPr>
                <w:rFonts w:hint="eastAsia"/>
                <w:lang w:val="en-US" w:eastAsia="zh-CN"/>
              </w:rPr>
            </w:pPr>
            <w:r>
              <w:rPr>
                <w:rFonts w:hint="eastAsia"/>
                <w:lang w:val="en-US" w:eastAsia="zh-CN"/>
              </w:rPr>
              <w:t>序号</w:t>
            </w:r>
          </w:p>
        </w:tc>
        <w:tc>
          <w:tcPr>
            <w:tcW w:w="654" w:type="pct"/>
            <w:vAlign w:val="center"/>
          </w:tcPr>
          <w:p w14:paraId="1FEAD03C">
            <w:pPr>
              <w:bidi w:val="0"/>
              <w:jc w:val="center"/>
              <w:rPr>
                <w:rFonts w:hint="default"/>
                <w:lang w:val="en-US" w:eastAsia="zh-CN"/>
              </w:rPr>
            </w:pPr>
            <w:r>
              <w:rPr>
                <w:rFonts w:hint="eastAsia"/>
                <w:lang w:val="en-US" w:eastAsia="zh-CN"/>
              </w:rPr>
              <w:t>宿舍类型</w:t>
            </w:r>
          </w:p>
        </w:tc>
        <w:tc>
          <w:tcPr>
            <w:tcW w:w="496" w:type="pct"/>
            <w:vAlign w:val="center"/>
          </w:tcPr>
          <w:p w14:paraId="0659D542">
            <w:pPr>
              <w:bidi w:val="0"/>
              <w:jc w:val="center"/>
              <w:rPr>
                <w:rFonts w:hint="eastAsia"/>
                <w:lang w:val="en-US" w:eastAsia="zh-CN"/>
              </w:rPr>
            </w:pPr>
            <w:r>
              <w:rPr>
                <w:rFonts w:hint="eastAsia"/>
                <w:lang w:val="en-US" w:eastAsia="zh-CN"/>
              </w:rPr>
              <w:t>床（张）</w:t>
            </w:r>
          </w:p>
        </w:tc>
        <w:tc>
          <w:tcPr>
            <w:tcW w:w="496" w:type="pct"/>
            <w:vAlign w:val="center"/>
          </w:tcPr>
          <w:p w14:paraId="390CF755">
            <w:pPr>
              <w:bidi w:val="0"/>
              <w:jc w:val="center"/>
              <w:rPr>
                <w:rFonts w:hint="default"/>
                <w:lang w:val="en-US" w:eastAsia="zh-CN"/>
              </w:rPr>
            </w:pPr>
            <w:r>
              <w:rPr>
                <w:rFonts w:hint="eastAsia"/>
                <w:lang w:val="en-US" w:eastAsia="zh-CN"/>
              </w:rPr>
              <w:t>床垫（张）</w:t>
            </w:r>
          </w:p>
        </w:tc>
        <w:tc>
          <w:tcPr>
            <w:tcW w:w="496" w:type="pct"/>
            <w:vAlign w:val="center"/>
          </w:tcPr>
          <w:p w14:paraId="4DD4AD06">
            <w:pPr>
              <w:bidi w:val="0"/>
              <w:jc w:val="center"/>
            </w:pPr>
            <w:r>
              <w:rPr>
                <w:rFonts w:hint="eastAsia"/>
              </w:rPr>
              <w:t>衣柜</w:t>
            </w:r>
            <w:r>
              <w:rPr>
                <w:rFonts w:hint="eastAsia"/>
                <w:lang w:val="en-US" w:eastAsia="zh-CN"/>
              </w:rPr>
              <w:t>（张）</w:t>
            </w:r>
          </w:p>
        </w:tc>
        <w:tc>
          <w:tcPr>
            <w:tcW w:w="496" w:type="pct"/>
            <w:vAlign w:val="center"/>
          </w:tcPr>
          <w:p w14:paraId="12C4B426">
            <w:pPr>
              <w:bidi w:val="0"/>
              <w:jc w:val="center"/>
            </w:pPr>
            <w:r>
              <w:rPr>
                <w:rFonts w:hint="eastAsia"/>
              </w:rPr>
              <w:t>桌子</w:t>
            </w:r>
            <w:r>
              <w:rPr>
                <w:rFonts w:hint="eastAsia"/>
                <w:lang w:val="en-US" w:eastAsia="zh-CN"/>
              </w:rPr>
              <w:t>（张）</w:t>
            </w:r>
          </w:p>
        </w:tc>
        <w:tc>
          <w:tcPr>
            <w:tcW w:w="496" w:type="pct"/>
            <w:vAlign w:val="center"/>
          </w:tcPr>
          <w:p w14:paraId="5FF3C34E">
            <w:pPr>
              <w:bidi w:val="0"/>
              <w:jc w:val="center"/>
              <w:rPr>
                <w:rFonts w:hint="eastAsia"/>
              </w:rPr>
            </w:pPr>
            <w:r>
              <w:rPr>
                <w:rFonts w:hint="eastAsia"/>
              </w:rPr>
              <w:t>床头柜</w:t>
            </w:r>
            <w:r>
              <w:rPr>
                <w:rFonts w:hint="eastAsia"/>
                <w:lang w:val="en-US" w:eastAsia="zh-CN"/>
              </w:rPr>
              <w:t>（张）</w:t>
            </w:r>
          </w:p>
        </w:tc>
        <w:tc>
          <w:tcPr>
            <w:tcW w:w="513" w:type="pct"/>
            <w:vAlign w:val="center"/>
          </w:tcPr>
          <w:p w14:paraId="6600AC9C">
            <w:pPr>
              <w:bidi w:val="0"/>
              <w:jc w:val="center"/>
              <w:rPr>
                <w:rFonts w:hint="default"/>
                <w:color w:val="auto"/>
                <w:lang w:val="en-US" w:eastAsia="zh-CN"/>
              </w:rPr>
            </w:pPr>
            <w:r>
              <w:rPr>
                <w:rFonts w:hint="eastAsia"/>
                <w:color w:val="auto"/>
                <w:lang w:val="en-US" w:eastAsia="zh-CN"/>
              </w:rPr>
              <w:t>椅子</w:t>
            </w:r>
          </w:p>
        </w:tc>
        <w:tc>
          <w:tcPr>
            <w:tcW w:w="1100" w:type="pct"/>
            <w:vAlign w:val="center"/>
          </w:tcPr>
          <w:p w14:paraId="520E9DEE">
            <w:pPr>
              <w:bidi w:val="0"/>
              <w:jc w:val="center"/>
              <w:rPr>
                <w:rFonts w:hint="eastAsia"/>
                <w:lang w:eastAsia="zh-CN"/>
              </w:rPr>
            </w:pPr>
            <w:r>
              <w:rPr>
                <w:rFonts w:hint="eastAsia"/>
                <w:lang w:eastAsia="zh-CN"/>
              </w:rPr>
              <w:t>备注</w:t>
            </w:r>
          </w:p>
        </w:tc>
      </w:tr>
      <w:tr w14:paraId="377FB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Align w:val="center"/>
          </w:tcPr>
          <w:p w14:paraId="328DCBC3">
            <w:pPr>
              <w:bidi w:val="0"/>
              <w:jc w:val="center"/>
              <w:rPr>
                <w:rFonts w:hint="eastAsia"/>
                <w:lang w:val="en-US" w:eastAsia="zh-CN"/>
              </w:rPr>
            </w:pPr>
            <w:r>
              <w:rPr>
                <w:rFonts w:hint="eastAsia"/>
                <w:lang w:val="en-US" w:eastAsia="zh-CN"/>
              </w:rPr>
              <w:t>1</w:t>
            </w:r>
          </w:p>
        </w:tc>
        <w:tc>
          <w:tcPr>
            <w:tcW w:w="654" w:type="pct"/>
            <w:vAlign w:val="center"/>
          </w:tcPr>
          <w:p w14:paraId="24ACCBCC">
            <w:pPr>
              <w:bidi w:val="0"/>
              <w:jc w:val="center"/>
              <w:rPr>
                <w:rFonts w:hint="default"/>
                <w:lang w:val="en-US" w:eastAsia="zh-CN"/>
              </w:rPr>
            </w:pPr>
            <w:r>
              <w:rPr>
                <w:rFonts w:hint="eastAsia"/>
                <w:lang w:val="en-US" w:eastAsia="zh-CN"/>
              </w:rPr>
              <w:t>单人间</w:t>
            </w:r>
          </w:p>
        </w:tc>
        <w:tc>
          <w:tcPr>
            <w:tcW w:w="496" w:type="pct"/>
            <w:vAlign w:val="center"/>
          </w:tcPr>
          <w:p w14:paraId="743CF7CE">
            <w:pPr>
              <w:bidi w:val="0"/>
              <w:jc w:val="center"/>
            </w:pPr>
            <w:r>
              <w:rPr>
                <w:rFonts w:hint="eastAsia"/>
                <w:lang w:val="en-US" w:eastAsia="zh-CN"/>
              </w:rPr>
              <w:t>32</w:t>
            </w:r>
          </w:p>
        </w:tc>
        <w:tc>
          <w:tcPr>
            <w:tcW w:w="496" w:type="pct"/>
            <w:vAlign w:val="center"/>
          </w:tcPr>
          <w:p w14:paraId="196550C9">
            <w:pPr>
              <w:bidi w:val="0"/>
              <w:jc w:val="center"/>
            </w:pPr>
            <w:r>
              <w:rPr>
                <w:rFonts w:hint="eastAsia"/>
                <w:lang w:val="en-US" w:eastAsia="zh-CN"/>
              </w:rPr>
              <w:t>32</w:t>
            </w:r>
          </w:p>
        </w:tc>
        <w:tc>
          <w:tcPr>
            <w:tcW w:w="496" w:type="pct"/>
            <w:vAlign w:val="center"/>
          </w:tcPr>
          <w:p w14:paraId="7AD3F7DC">
            <w:pPr>
              <w:bidi w:val="0"/>
              <w:jc w:val="center"/>
            </w:pPr>
            <w:r>
              <w:rPr>
                <w:rFonts w:hint="eastAsia"/>
                <w:lang w:val="en-US" w:eastAsia="zh-CN"/>
              </w:rPr>
              <w:t>32</w:t>
            </w:r>
          </w:p>
        </w:tc>
        <w:tc>
          <w:tcPr>
            <w:tcW w:w="496" w:type="pct"/>
            <w:vAlign w:val="center"/>
          </w:tcPr>
          <w:p w14:paraId="19CC44FB">
            <w:pPr>
              <w:bidi w:val="0"/>
              <w:jc w:val="center"/>
            </w:pPr>
            <w:r>
              <w:rPr>
                <w:rFonts w:hint="eastAsia"/>
                <w:lang w:val="en-US" w:eastAsia="zh-CN"/>
              </w:rPr>
              <w:t>32</w:t>
            </w:r>
          </w:p>
        </w:tc>
        <w:tc>
          <w:tcPr>
            <w:tcW w:w="496" w:type="pct"/>
            <w:vAlign w:val="center"/>
          </w:tcPr>
          <w:p w14:paraId="1BC7D8FF">
            <w:pPr>
              <w:bidi w:val="0"/>
              <w:jc w:val="center"/>
            </w:pPr>
            <w:r>
              <w:rPr>
                <w:rFonts w:hint="eastAsia"/>
                <w:lang w:val="en-US" w:eastAsia="zh-CN"/>
              </w:rPr>
              <w:t>32</w:t>
            </w:r>
          </w:p>
        </w:tc>
        <w:tc>
          <w:tcPr>
            <w:tcW w:w="513" w:type="pct"/>
            <w:vAlign w:val="center"/>
          </w:tcPr>
          <w:p w14:paraId="626AE245">
            <w:pPr>
              <w:bidi w:val="0"/>
              <w:jc w:val="center"/>
              <w:rPr>
                <w:rFonts w:hint="default"/>
                <w:color w:val="auto"/>
                <w:lang w:val="en-US" w:eastAsia="zh-CN"/>
              </w:rPr>
            </w:pPr>
            <w:r>
              <w:rPr>
                <w:rFonts w:hint="eastAsia"/>
                <w:color w:val="auto"/>
                <w:lang w:val="en-US" w:eastAsia="zh-CN"/>
              </w:rPr>
              <w:t>24</w:t>
            </w:r>
          </w:p>
        </w:tc>
        <w:tc>
          <w:tcPr>
            <w:tcW w:w="1100" w:type="pct"/>
            <w:vAlign w:val="center"/>
          </w:tcPr>
          <w:p w14:paraId="7602BE38">
            <w:pPr>
              <w:bidi w:val="0"/>
              <w:jc w:val="center"/>
              <w:rPr>
                <w:rFonts w:hint="eastAsia"/>
                <w:lang w:val="en-US" w:eastAsia="zh-CN"/>
              </w:rPr>
            </w:pPr>
            <w:r>
              <w:rPr>
                <w:rFonts w:hint="eastAsia"/>
                <w:lang w:val="en-US" w:eastAsia="zh-CN"/>
              </w:rPr>
              <w:t>技术说明详见</w:t>
            </w:r>
          </w:p>
          <w:p w14:paraId="49E073B8">
            <w:pPr>
              <w:bidi w:val="0"/>
              <w:jc w:val="center"/>
              <w:rPr>
                <w:rFonts w:hint="default"/>
                <w:lang w:val="en-US" w:eastAsia="zh-CN"/>
              </w:rPr>
            </w:pPr>
            <w:r>
              <w:rPr>
                <w:rFonts w:hint="eastAsia"/>
                <w:lang w:val="en-US" w:eastAsia="zh-CN"/>
              </w:rPr>
              <w:t>清单明细</w:t>
            </w:r>
          </w:p>
        </w:tc>
      </w:tr>
      <w:tr w14:paraId="718E9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Align w:val="center"/>
          </w:tcPr>
          <w:p w14:paraId="5B282890">
            <w:pPr>
              <w:bidi w:val="0"/>
              <w:jc w:val="center"/>
              <w:rPr>
                <w:rFonts w:hint="eastAsia"/>
                <w:lang w:val="en-US" w:eastAsia="zh-CN"/>
              </w:rPr>
            </w:pPr>
            <w:r>
              <w:rPr>
                <w:rFonts w:hint="eastAsia"/>
                <w:lang w:val="en-US" w:eastAsia="zh-CN"/>
              </w:rPr>
              <w:t>2</w:t>
            </w:r>
          </w:p>
        </w:tc>
        <w:tc>
          <w:tcPr>
            <w:tcW w:w="654" w:type="pct"/>
            <w:vAlign w:val="center"/>
          </w:tcPr>
          <w:p w14:paraId="0B331135">
            <w:pPr>
              <w:bidi w:val="0"/>
              <w:jc w:val="center"/>
              <w:rPr>
                <w:rFonts w:hint="default"/>
                <w:lang w:val="en-US" w:eastAsia="zh-CN"/>
              </w:rPr>
            </w:pPr>
            <w:r>
              <w:rPr>
                <w:rFonts w:hint="eastAsia"/>
                <w:lang w:val="en-US" w:eastAsia="zh-CN"/>
              </w:rPr>
              <w:t>双人间</w:t>
            </w:r>
          </w:p>
        </w:tc>
        <w:tc>
          <w:tcPr>
            <w:tcW w:w="496" w:type="pct"/>
            <w:vAlign w:val="center"/>
          </w:tcPr>
          <w:p w14:paraId="6E26FFA3">
            <w:pPr>
              <w:bidi w:val="0"/>
              <w:jc w:val="center"/>
            </w:pPr>
            <w:r>
              <w:rPr>
                <w:rFonts w:hint="eastAsia"/>
                <w:lang w:val="en-US" w:eastAsia="zh-CN"/>
              </w:rPr>
              <w:t>192</w:t>
            </w:r>
          </w:p>
        </w:tc>
        <w:tc>
          <w:tcPr>
            <w:tcW w:w="496" w:type="pct"/>
            <w:vAlign w:val="center"/>
          </w:tcPr>
          <w:p w14:paraId="2C09279D">
            <w:pPr>
              <w:bidi w:val="0"/>
              <w:jc w:val="center"/>
            </w:pPr>
            <w:r>
              <w:rPr>
                <w:rFonts w:hint="eastAsia"/>
                <w:lang w:val="en-US" w:eastAsia="zh-CN"/>
              </w:rPr>
              <w:t>192</w:t>
            </w:r>
          </w:p>
        </w:tc>
        <w:tc>
          <w:tcPr>
            <w:tcW w:w="496" w:type="pct"/>
            <w:vAlign w:val="center"/>
          </w:tcPr>
          <w:p w14:paraId="064EE9C1">
            <w:pPr>
              <w:bidi w:val="0"/>
              <w:jc w:val="center"/>
            </w:pPr>
            <w:r>
              <w:rPr>
                <w:rFonts w:hint="eastAsia"/>
                <w:lang w:val="en-US" w:eastAsia="zh-CN"/>
              </w:rPr>
              <w:t>192</w:t>
            </w:r>
          </w:p>
        </w:tc>
        <w:tc>
          <w:tcPr>
            <w:tcW w:w="496" w:type="pct"/>
            <w:vAlign w:val="center"/>
          </w:tcPr>
          <w:p w14:paraId="678C811D">
            <w:pPr>
              <w:bidi w:val="0"/>
              <w:jc w:val="center"/>
            </w:pPr>
            <w:r>
              <w:rPr>
                <w:rFonts w:hint="eastAsia"/>
                <w:lang w:val="en-US" w:eastAsia="zh-CN"/>
              </w:rPr>
              <w:t>192</w:t>
            </w:r>
          </w:p>
        </w:tc>
        <w:tc>
          <w:tcPr>
            <w:tcW w:w="496" w:type="pct"/>
            <w:vAlign w:val="center"/>
          </w:tcPr>
          <w:p w14:paraId="64495CA9">
            <w:pPr>
              <w:bidi w:val="0"/>
              <w:jc w:val="center"/>
            </w:pPr>
            <w:r>
              <w:rPr>
                <w:rFonts w:hint="eastAsia"/>
                <w:lang w:val="en-US" w:eastAsia="zh-CN"/>
              </w:rPr>
              <w:t>192</w:t>
            </w:r>
          </w:p>
        </w:tc>
        <w:tc>
          <w:tcPr>
            <w:tcW w:w="513" w:type="pct"/>
            <w:vAlign w:val="center"/>
          </w:tcPr>
          <w:p w14:paraId="61DB668D">
            <w:pPr>
              <w:bidi w:val="0"/>
              <w:jc w:val="center"/>
              <w:rPr>
                <w:rFonts w:hint="eastAsia" w:eastAsia="宋体"/>
                <w:color w:val="auto"/>
                <w:lang w:val="en-US" w:eastAsia="zh-CN"/>
              </w:rPr>
            </w:pPr>
            <w:r>
              <w:rPr>
                <w:rFonts w:hint="eastAsia"/>
                <w:color w:val="auto"/>
                <w:lang w:val="en-US" w:eastAsia="zh-CN"/>
              </w:rPr>
              <w:t>0</w:t>
            </w:r>
          </w:p>
        </w:tc>
        <w:tc>
          <w:tcPr>
            <w:tcW w:w="1100" w:type="pct"/>
            <w:vAlign w:val="center"/>
          </w:tcPr>
          <w:p w14:paraId="7F18AE3A">
            <w:pPr>
              <w:bidi w:val="0"/>
              <w:jc w:val="center"/>
              <w:rPr>
                <w:rFonts w:hint="eastAsia"/>
                <w:lang w:val="en-US" w:eastAsia="zh-CN"/>
              </w:rPr>
            </w:pPr>
            <w:r>
              <w:rPr>
                <w:rFonts w:hint="eastAsia"/>
                <w:lang w:val="en-US" w:eastAsia="zh-CN"/>
              </w:rPr>
              <w:t>技术说明详见</w:t>
            </w:r>
          </w:p>
          <w:p w14:paraId="3FAB1352">
            <w:pPr>
              <w:bidi w:val="0"/>
              <w:jc w:val="center"/>
              <w:rPr>
                <w:rFonts w:hint="default"/>
                <w:lang w:val="en-US" w:eastAsia="zh-CN"/>
              </w:rPr>
            </w:pPr>
            <w:r>
              <w:rPr>
                <w:rFonts w:hint="eastAsia"/>
                <w:lang w:val="en-US" w:eastAsia="zh-CN"/>
              </w:rPr>
              <w:t>清单明细</w:t>
            </w:r>
          </w:p>
        </w:tc>
      </w:tr>
      <w:tr w14:paraId="15838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Align w:val="center"/>
          </w:tcPr>
          <w:p w14:paraId="371570A3">
            <w:pPr>
              <w:bidi w:val="0"/>
              <w:jc w:val="center"/>
              <w:rPr>
                <w:rFonts w:hint="eastAsia"/>
                <w:lang w:val="en-US" w:eastAsia="zh-CN"/>
              </w:rPr>
            </w:pPr>
            <w:r>
              <w:rPr>
                <w:rFonts w:hint="eastAsia"/>
                <w:lang w:val="en-US" w:eastAsia="zh-CN"/>
              </w:rPr>
              <w:t>3</w:t>
            </w:r>
          </w:p>
        </w:tc>
        <w:tc>
          <w:tcPr>
            <w:tcW w:w="654" w:type="pct"/>
            <w:vAlign w:val="center"/>
          </w:tcPr>
          <w:p w14:paraId="09989356">
            <w:pPr>
              <w:bidi w:val="0"/>
              <w:jc w:val="center"/>
              <w:rPr>
                <w:rFonts w:hint="default"/>
                <w:lang w:val="en-US" w:eastAsia="zh-CN"/>
              </w:rPr>
            </w:pPr>
            <w:r>
              <w:rPr>
                <w:rFonts w:hint="eastAsia"/>
                <w:lang w:val="en-US" w:eastAsia="zh-CN"/>
              </w:rPr>
              <w:t>四人间</w:t>
            </w:r>
          </w:p>
        </w:tc>
        <w:tc>
          <w:tcPr>
            <w:tcW w:w="496" w:type="pct"/>
            <w:vAlign w:val="center"/>
          </w:tcPr>
          <w:p w14:paraId="1B0F182D">
            <w:pPr>
              <w:bidi w:val="0"/>
              <w:jc w:val="center"/>
              <w:rPr>
                <w:rFonts w:hint="default"/>
                <w:lang w:val="en-US"/>
              </w:rPr>
            </w:pPr>
            <w:r>
              <w:rPr>
                <w:rFonts w:hint="eastAsia"/>
                <w:lang w:val="en-US" w:eastAsia="zh-CN"/>
              </w:rPr>
              <w:t>976</w:t>
            </w:r>
          </w:p>
        </w:tc>
        <w:tc>
          <w:tcPr>
            <w:tcW w:w="496" w:type="pct"/>
            <w:vAlign w:val="center"/>
          </w:tcPr>
          <w:p w14:paraId="64C55181">
            <w:pPr>
              <w:bidi w:val="0"/>
              <w:jc w:val="center"/>
              <w:rPr>
                <w:rFonts w:hint="default"/>
                <w:lang w:val="en-US"/>
              </w:rPr>
            </w:pPr>
            <w:r>
              <w:rPr>
                <w:rFonts w:hint="eastAsia"/>
                <w:lang w:val="en-US" w:eastAsia="zh-CN"/>
              </w:rPr>
              <w:t>976</w:t>
            </w:r>
          </w:p>
        </w:tc>
        <w:tc>
          <w:tcPr>
            <w:tcW w:w="496" w:type="pct"/>
            <w:vAlign w:val="center"/>
          </w:tcPr>
          <w:p w14:paraId="350B95FF">
            <w:pPr>
              <w:bidi w:val="0"/>
              <w:jc w:val="center"/>
              <w:rPr>
                <w:rFonts w:hint="default"/>
                <w:lang w:val="en-US"/>
              </w:rPr>
            </w:pPr>
            <w:r>
              <w:rPr>
                <w:rFonts w:hint="eastAsia"/>
                <w:lang w:val="en-US" w:eastAsia="zh-CN"/>
              </w:rPr>
              <w:t>488</w:t>
            </w:r>
          </w:p>
        </w:tc>
        <w:tc>
          <w:tcPr>
            <w:tcW w:w="496" w:type="pct"/>
            <w:vAlign w:val="center"/>
          </w:tcPr>
          <w:p w14:paraId="00E09ABA">
            <w:pPr>
              <w:bidi w:val="0"/>
              <w:jc w:val="center"/>
              <w:rPr>
                <w:rFonts w:hint="default"/>
                <w:lang w:val="en-US"/>
              </w:rPr>
            </w:pPr>
            <w:r>
              <w:rPr>
                <w:rFonts w:hint="eastAsia"/>
                <w:lang w:val="en-US" w:eastAsia="zh-CN"/>
              </w:rPr>
              <w:t>244</w:t>
            </w:r>
          </w:p>
        </w:tc>
        <w:tc>
          <w:tcPr>
            <w:tcW w:w="496" w:type="pct"/>
            <w:vAlign w:val="center"/>
          </w:tcPr>
          <w:p w14:paraId="47FAF7BF">
            <w:pPr>
              <w:bidi w:val="0"/>
              <w:jc w:val="center"/>
            </w:pPr>
            <w:r>
              <w:rPr>
                <w:rFonts w:hint="eastAsia"/>
                <w:lang w:val="en-US" w:eastAsia="zh-CN"/>
              </w:rPr>
              <w:t>0</w:t>
            </w:r>
          </w:p>
        </w:tc>
        <w:tc>
          <w:tcPr>
            <w:tcW w:w="513" w:type="pct"/>
            <w:vAlign w:val="center"/>
          </w:tcPr>
          <w:p w14:paraId="4AE4D2B6">
            <w:pPr>
              <w:bidi w:val="0"/>
              <w:jc w:val="center"/>
              <w:rPr>
                <w:rFonts w:hint="eastAsia" w:eastAsia="宋体"/>
                <w:color w:val="auto"/>
                <w:lang w:val="en-US" w:eastAsia="zh-CN"/>
              </w:rPr>
            </w:pPr>
            <w:r>
              <w:rPr>
                <w:rFonts w:hint="eastAsia"/>
                <w:color w:val="auto"/>
                <w:lang w:val="en-US" w:eastAsia="zh-CN"/>
              </w:rPr>
              <w:t>0</w:t>
            </w:r>
          </w:p>
        </w:tc>
        <w:tc>
          <w:tcPr>
            <w:tcW w:w="1100" w:type="pct"/>
            <w:vAlign w:val="center"/>
          </w:tcPr>
          <w:p w14:paraId="7EFCC779">
            <w:pPr>
              <w:bidi w:val="0"/>
              <w:jc w:val="center"/>
              <w:rPr>
                <w:rFonts w:hint="eastAsia"/>
                <w:lang w:val="en-US" w:eastAsia="zh-CN"/>
              </w:rPr>
            </w:pPr>
            <w:r>
              <w:rPr>
                <w:rFonts w:hint="eastAsia"/>
                <w:lang w:val="en-US" w:eastAsia="zh-CN"/>
              </w:rPr>
              <w:t>技术说明详见</w:t>
            </w:r>
          </w:p>
          <w:p w14:paraId="5AD96FB6">
            <w:pPr>
              <w:bidi w:val="0"/>
              <w:jc w:val="center"/>
              <w:rPr>
                <w:rFonts w:hint="default"/>
                <w:lang w:val="en-US" w:eastAsia="zh-CN"/>
              </w:rPr>
            </w:pPr>
            <w:r>
              <w:rPr>
                <w:rFonts w:hint="eastAsia"/>
                <w:lang w:val="en-US" w:eastAsia="zh-CN"/>
              </w:rPr>
              <w:t>清单明细</w:t>
            </w:r>
          </w:p>
        </w:tc>
      </w:tr>
    </w:tbl>
    <w:p w14:paraId="0F9B0543">
      <w:pPr>
        <w:tabs>
          <w:tab w:val="left" w:pos="284"/>
        </w:tabs>
        <w:adjustRightInd w:val="0"/>
        <w:snapToGrid w:val="0"/>
        <w:spacing w:line="360" w:lineRule="auto"/>
        <w:jc w:val="left"/>
        <w:rPr>
          <w:rFonts w:ascii="宋体" w:hAnsi="Courier New"/>
          <w:b/>
          <w:color w:val="auto"/>
          <w:kern w:val="0"/>
          <w:sz w:val="20"/>
          <w:szCs w:val="20"/>
          <w:highlight w:val="none"/>
        </w:rPr>
      </w:pPr>
    </w:p>
    <w:p w14:paraId="1B3BFD15">
      <w:pPr>
        <w:pStyle w:val="4"/>
        <w:numPr>
          <w:ilvl w:val="0"/>
          <w:numId w:val="0"/>
        </w:numPr>
        <w:ind w:left="440" w:leftChars="0" w:hanging="440" w:firstLineChars="0"/>
        <w:rPr>
          <w:rFonts w:hint="eastAsia"/>
          <w:color w:val="auto"/>
          <w:highlight w:val="none"/>
        </w:rPr>
      </w:pPr>
      <w:r>
        <w:rPr>
          <w:rFonts w:hint="eastAsia" w:cs="宋体" w:asciiTheme="minorEastAsia" w:hAnsiTheme="minorEastAsia" w:eastAsiaTheme="minorEastAsia"/>
          <w:b/>
          <w:bCs/>
          <w:color w:val="auto"/>
          <w:kern w:val="0"/>
          <w:sz w:val="21"/>
          <w:szCs w:val="21"/>
          <w:lang w:val="en-US" w:eastAsia="zh-CN" w:bidi="ar-SA"/>
        </w:rPr>
        <w:t>九、</w:t>
      </w:r>
      <w:r>
        <w:rPr>
          <w:rFonts w:hint="eastAsia"/>
          <w:color w:val="auto"/>
          <w:highlight w:val="none"/>
        </w:rPr>
        <w:t>样品要求</w:t>
      </w:r>
    </w:p>
    <w:p w14:paraId="1C4DDFEA">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hint="eastAsia" w:ascii="宋体" w:hAnsi="宋体"/>
          <w:color w:val="auto"/>
          <w:szCs w:val="21"/>
          <w:highlight w:val="none"/>
        </w:rPr>
        <w:t>本项目样品为原材料</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板材</w:t>
      </w:r>
      <w:r>
        <w:rPr>
          <w:rFonts w:hint="eastAsia" w:ascii="宋体" w:hAnsi="宋体"/>
          <w:color w:val="auto"/>
          <w:szCs w:val="21"/>
          <w:highlight w:val="none"/>
          <w:lang w:eastAsia="zh-CN"/>
        </w:rPr>
        <w:t>）</w:t>
      </w:r>
      <w:r>
        <w:rPr>
          <w:rFonts w:hint="eastAsia" w:ascii="宋体" w:hAnsi="宋体"/>
          <w:color w:val="auto"/>
          <w:szCs w:val="21"/>
          <w:highlight w:val="none"/>
        </w:rPr>
        <w:t>实物样品；</w:t>
      </w:r>
    </w:p>
    <w:p w14:paraId="709A333D">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ascii="宋体" w:hAnsi="宋体"/>
          <w:color w:val="auto"/>
          <w:szCs w:val="21"/>
          <w:highlight w:val="none"/>
        </w:rPr>
        <w:t>所有</w:t>
      </w:r>
      <w:r>
        <w:rPr>
          <w:rFonts w:hint="eastAsia" w:ascii="宋体" w:hAnsi="宋体"/>
          <w:color w:val="auto"/>
          <w:szCs w:val="21"/>
          <w:highlight w:val="none"/>
        </w:rPr>
        <w:t>投标人</w:t>
      </w:r>
      <w:r>
        <w:rPr>
          <w:rFonts w:ascii="宋体" w:hAnsi="宋体"/>
          <w:color w:val="auto"/>
          <w:szCs w:val="21"/>
          <w:highlight w:val="none"/>
        </w:rPr>
        <w:t>均需</w:t>
      </w:r>
      <w:r>
        <w:rPr>
          <w:rFonts w:hint="eastAsia" w:ascii="宋体" w:hAnsi="宋体"/>
          <w:color w:val="auto"/>
          <w:szCs w:val="21"/>
          <w:highlight w:val="none"/>
        </w:rPr>
        <w:t>根据样品清单</w:t>
      </w:r>
      <w:r>
        <w:rPr>
          <w:rFonts w:ascii="宋体" w:hAnsi="宋体"/>
          <w:color w:val="auto"/>
          <w:szCs w:val="21"/>
          <w:highlight w:val="none"/>
        </w:rPr>
        <w:t>在</w:t>
      </w:r>
      <w:r>
        <w:rPr>
          <w:rFonts w:hint="eastAsia" w:ascii="宋体" w:hAnsi="宋体"/>
          <w:color w:val="auto"/>
          <w:szCs w:val="21"/>
          <w:highlight w:val="none"/>
        </w:rPr>
        <w:t>投标文件递交截止时间前提供一份原材料</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板材</w:t>
      </w:r>
      <w:r>
        <w:rPr>
          <w:rFonts w:hint="eastAsia" w:ascii="宋体" w:hAnsi="宋体"/>
          <w:color w:val="auto"/>
          <w:szCs w:val="21"/>
          <w:highlight w:val="none"/>
          <w:lang w:eastAsia="zh-CN"/>
        </w:rPr>
        <w:t>）</w:t>
      </w:r>
      <w:r>
        <w:rPr>
          <w:rFonts w:hint="eastAsia" w:ascii="宋体" w:hAnsi="宋体"/>
          <w:color w:val="auto"/>
          <w:szCs w:val="21"/>
          <w:highlight w:val="none"/>
        </w:rPr>
        <w:t>实物样品：</w:t>
      </w:r>
    </w:p>
    <w:tbl>
      <w:tblPr>
        <w:tblStyle w:val="22"/>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7"/>
        <w:gridCol w:w="1133"/>
        <w:gridCol w:w="862"/>
        <w:gridCol w:w="1783"/>
        <w:gridCol w:w="4258"/>
      </w:tblGrid>
      <w:tr w14:paraId="22BD45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86" w:type="pct"/>
            <w:vAlign w:val="center"/>
          </w:tcPr>
          <w:p w14:paraId="20D8F1A8">
            <w:pPr>
              <w:snapToGrid w:val="0"/>
              <w:ind w:right="-78" w:rightChars="-37"/>
              <w:jc w:val="center"/>
              <w:rPr>
                <w:rFonts w:hint="eastAsia" w:ascii="宋体" w:hAnsi="宋体"/>
                <w:color w:val="auto"/>
                <w:szCs w:val="21"/>
                <w:highlight w:val="none"/>
              </w:rPr>
            </w:pPr>
            <w:r>
              <w:rPr>
                <w:rFonts w:ascii="宋体" w:hAnsi="宋体"/>
                <w:color w:val="auto"/>
                <w:szCs w:val="21"/>
                <w:highlight w:val="none"/>
              </w:rPr>
              <w:t>序号</w:t>
            </w:r>
          </w:p>
        </w:tc>
        <w:tc>
          <w:tcPr>
            <w:tcW w:w="664" w:type="pct"/>
            <w:vAlign w:val="center"/>
          </w:tcPr>
          <w:p w14:paraId="7F64080B">
            <w:pPr>
              <w:snapToGrid w:val="0"/>
              <w:jc w:val="center"/>
              <w:rPr>
                <w:rFonts w:hint="eastAsia" w:ascii="宋体" w:hAnsi="宋体"/>
                <w:color w:val="auto"/>
                <w:szCs w:val="21"/>
                <w:highlight w:val="none"/>
              </w:rPr>
            </w:pPr>
            <w:r>
              <w:rPr>
                <w:rFonts w:ascii="宋体" w:hAnsi="宋体"/>
                <w:color w:val="auto"/>
                <w:szCs w:val="21"/>
                <w:highlight w:val="none"/>
              </w:rPr>
              <w:t>样品名称</w:t>
            </w:r>
          </w:p>
        </w:tc>
        <w:tc>
          <w:tcPr>
            <w:tcW w:w="505" w:type="pct"/>
            <w:vAlign w:val="center"/>
          </w:tcPr>
          <w:p w14:paraId="33AEE150">
            <w:pPr>
              <w:snapToGrid w:val="0"/>
              <w:jc w:val="center"/>
              <w:rPr>
                <w:rFonts w:hint="eastAsia" w:ascii="宋体" w:hAnsi="宋体"/>
                <w:color w:val="auto"/>
                <w:szCs w:val="21"/>
                <w:highlight w:val="none"/>
              </w:rPr>
            </w:pPr>
            <w:r>
              <w:rPr>
                <w:rFonts w:hint="eastAsia" w:ascii="宋体" w:hAnsi="宋体"/>
                <w:color w:val="auto"/>
                <w:szCs w:val="21"/>
                <w:highlight w:val="none"/>
              </w:rPr>
              <w:t>数量</w:t>
            </w:r>
          </w:p>
        </w:tc>
        <w:tc>
          <w:tcPr>
            <w:tcW w:w="1045" w:type="pct"/>
            <w:vAlign w:val="center"/>
          </w:tcPr>
          <w:p w14:paraId="3BEA39AA">
            <w:pPr>
              <w:snapToGrid w:val="0"/>
              <w:jc w:val="center"/>
              <w:rPr>
                <w:rFonts w:hint="eastAsia" w:ascii="宋体" w:hAnsi="宋体"/>
                <w:color w:val="auto"/>
                <w:szCs w:val="21"/>
                <w:highlight w:val="none"/>
              </w:rPr>
            </w:pPr>
            <w:r>
              <w:rPr>
                <w:rFonts w:ascii="宋体" w:hAnsi="宋体"/>
                <w:color w:val="auto"/>
                <w:szCs w:val="21"/>
                <w:highlight w:val="none"/>
              </w:rPr>
              <w:t>样品</w:t>
            </w:r>
            <w:r>
              <w:rPr>
                <w:rFonts w:hint="eastAsia" w:ascii="宋体" w:hAnsi="宋体"/>
                <w:color w:val="auto"/>
                <w:szCs w:val="21"/>
                <w:highlight w:val="none"/>
              </w:rPr>
              <w:t>尺寸(</w:t>
            </w:r>
            <w:r>
              <w:rPr>
                <w:rFonts w:hint="eastAsia" w:ascii="宋体" w:hAnsi="宋体"/>
                <w:color w:val="auto"/>
                <w:szCs w:val="21"/>
                <w:highlight w:val="none"/>
                <w:lang w:val="en-US" w:eastAsia="zh-CN"/>
              </w:rPr>
              <w:t>长</w:t>
            </w:r>
            <w:r>
              <w:rPr>
                <w:rFonts w:hint="eastAsia" w:ascii="宋体" w:hAnsi="宋体"/>
                <w:color w:val="auto"/>
                <w:szCs w:val="21"/>
                <w:highlight w:val="none"/>
              </w:rPr>
              <w:t>*</w:t>
            </w:r>
            <w:r>
              <w:rPr>
                <w:rFonts w:hint="eastAsia" w:ascii="宋体" w:hAnsi="宋体"/>
                <w:color w:val="auto"/>
                <w:szCs w:val="21"/>
                <w:highlight w:val="none"/>
                <w:lang w:val="en-US" w:eastAsia="zh-CN"/>
              </w:rPr>
              <w:t>宽</w:t>
            </w:r>
            <w:r>
              <w:rPr>
                <w:rFonts w:hint="eastAsia" w:ascii="宋体" w:hAnsi="宋体"/>
                <w:color w:val="auto"/>
                <w:szCs w:val="21"/>
                <w:highlight w:val="none"/>
              </w:rPr>
              <w:t>*高)单位：mm)</w:t>
            </w:r>
          </w:p>
        </w:tc>
        <w:tc>
          <w:tcPr>
            <w:tcW w:w="2496" w:type="pct"/>
            <w:tcBorders>
              <w:right w:val="single" w:color="auto" w:sz="4" w:space="0"/>
            </w:tcBorders>
            <w:vAlign w:val="center"/>
          </w:tcPr>
          <w:p w14:paraId="27BACC3F">
            <w:pPr>
              <w:snapToGrid w:val="0"/>
              <w:jc w:val="center"/>
              <w:rPr>
                <w:rFonts w:hint="eastAsia" w:ascii="宋体" w:hAnsi="宋体"/>
                <w:color w:val="auto"/>
                <w:szCs w:val="21"/>
                <w:highlight w:val="none"/>
              </w:rPr>
            </w:pPr>
            <w:r>
              <w:rPr>
                <w:rFonts w:hint="eastAsia" w:ascii="宋体" w:hAnsi="宋体"/>
                <w:color w:val="auto"/>
                <w:szCs w:val="21"/>
                <w:highlight w:val="none"/>
              </w:rPr>
              <w:t>技术</w:t>
            </w:r>
            <w:r>
              <w:rPr>
                <w:rFonts w:ascii="宋体" w:hAnsi="宋体"/>
                <w:color w:val="auto"/>
                <w:szCs w:val="21"/>
                <w:highlight w:val="none"/>
              </w:rPr>
              <w:t>说明</w:t>
            </w:r>
          </w:p>
        </w:tc>
      </w:tr>
      <w:tr w14:paraId="12DF13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6" w:type="pct"/>
            <w:vAlign w:val="center"/>
          </w:tcPr>
          <w:p w14:paraId="12CE397C">
            <w:pPr>
              <w:snapToGrid w:val="0"/>
              <w:ind w:right="-78" w:rightChars="-37"/>
              <w:jc w:val="center"/>
              <w:rPr>
                <w:rFonts w:hint="eastAsia" w:ascii="宋体" w:hAnsi="宋体"/>
                <w:color w:val="auto"/>
                <w:szCs w:val="21"/>
                <w:highlight w:val="none"/>
              </w:rPr>
            </w:pPr>
            <w:r>
              <w:rPr>
                <w:rFonts w:hint="eastAsia" w:ascii="宋体" w:hAnsi="宋体"/>
                <w:color w:val="auto"/>
                <w:szCs w:val="21"/>
                <w:highlight w:val="none"/>
              </w:rPr>
              <w:t>1</w:t>
            </w:r>
          </w:p>
        </w:tc>
        <w:tc>
          <w:tcPr>
            <w:tcW w:w="664" w:type="pct"/>
            <w:vAlign w:val="center"/>
          </w:tcPr>
          <w:p w14:paraId="0835CC5C">
            <w:pPr>
              <w:snapToGrid w:val="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榉木板（完成油漆）</w:t>
            </w:r>
          </w:p>
        </w:tc>
        <w:tc>
          <w:tcPr>
            <w:tcW w:w="505" w:type="pct"/>
            <w:vAlign w:val="center"/>
          </w:tcPr>
          <w:p w14:paraId="282AD486">
            <w:pPr>
              <w:snapToGrid w:val="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1045" w:type="pct"/>
            <w:vAlign w:val="center"/>
          </w:tcPr>
          <w:p w14:paraId="063DB2E9">
            <w:pPr>
              <w:snapToGrid w:val="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不超过</w:t>
            </w:r>
          </w:p>
          <w:p w14:paraId="0FADDD23">
            <w:pPr>
              <w:snapToGrid w:val="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2</w:t>
            </w:r>
            <w:r>
              <w:rPr>
                <w:rFonts w:hint="eastAsia" w:ascii="宋体" w:hAnsi="宋体"/>
                <w:color w:val="auto"/>
                <w:szCs w:val="21"/>
                <w:highlight w:val="none"/>
              </w:rPr>
              <w:t>00*200*</w:t>
            </w:r>
            <w:r>
              <w:rPr>
                <w:rFonts w:hint="eastAsia" w:ascii="宋体" w:hAnsi="宋体"/>
                <w:color w:val="auto"/>
                <w:szCs w:val="21"/>
                <w:highlight w:val="none"/>
                <w:lang w:val="en-US" w:eastAsia="zh-CN"/>
              </w:rPr>
              <w:t>50</w:t>
            </w:r>
          </w:p>
          <w:p w14:paraId="3A87A611">
            <w:pPr>
              <w:bidi w:val="0"/>
              <w:jc w:val="center"/>
              <w:rPr>
                <w:rFonts w:hint="default" w:eastAsia="宋体"/>
                <w:color w:val="auto"/>
                <w:lang w:val="en-US" w:eastAsia="zh-CN"/>
              </w:rPr>
            </w:pPr>
          </w:p>
        </w:tc>
        <w:tc>
          <w:tcPr>
            <w:tcW w:w="2496" w:type="pct"/>
            <w:tcBorders>
              <w:right w:val="single" w:color="auto" w:sz="4" w:space="0"/>
            </w:tcBorders>
            <w:vAlign w:val="center"/>
          </w:tcPr>
          <w:p w14:paraId="136DF3F4">
            <w:pPr>
              <w:snapToGrid w:val="0"/>
              <w:jc w:val="left"/>
              <w:rPr>
                <w:rFonts w:hint="eastAsia" w:ascii="宋体" w:hAnsi="宋体" w:eastAsia="宋体"/>
                <w:color w:val="auto"/>
                <w:szCs w:val="21"/>
                <w:highlight w:val="none"/>
                <w:lang w:val="en-US" w:eastAsia="zh-CN"/>
              </w:rPr>
            </w:pPr>
            <w:r>
              <w:rPr>
                <w:rFonts w:hint="eastAsia" w:ascii="宋体" w:hAnsi="宋体"/>
                <w:color w:val="auto"/>
                <w:szCs w:val="21"/>
                <w:highlight w:val="none"/>
              </w:rPr>
              <w:t>1.基材：榉木</w:t>
            </w:r>
            <w:r>
              <w:rPr>
                <w:rFonts w:hint="eastAsia" w:ascii="宋体" w:hAnsi="宋体"/>
                <w:color w:val="auto"/>
                <w:szCs w:val="21"/>
                <w:highlight w:val="none"/>
                <w:lang w:val="en-US" w:eastAsia="zh-CN"/>
              </w:rPr>
              <w:t>原木板</w:t>
            </w:r>
          </w:p>
          <w:p w14:paraId="6E5E3CA1">
            <w:pPr>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rPr>
              <w:t>2.含水率：≤ 8.0%</w:t>
            </w:r>
            <w:r>
              <w:rPr>
                <w:rFonts w:hint="eastAsia" w:ascii="宋体" w:hAnsi="宋体"/>
                <w:color w:val="auto"/>
                <w:szCs w:val="21"/>
                <w:highlight w:val="none"/>
                <w:lang w:val="en-US" w:eastAsia="zh-CN"/>
              </w:rPr>
              <w:t>;</w:t>
            </w:r>
          </w:p>
          <w:p w14:paraId="01AEDC8D">
            <w:pPr>
              <w:snapToGrid w:val="0"/>
              <w:jc w:val="left"/>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w:t>
            </w:r>
            <w:r>
              <w:rPr>
                <w:rFonts w:hint="eastAsia" w:ascii="宋体" w:hAnsi="宋体" w:cs="宋体"/>
                <w:color w:val="auto"/>
                <w:highlight w:val="none"/>
                <w:lang w:val="en-US" w:eastAsia="zh-CN"/>
              </w:rPr>
              <w:t>喷封闭漆—打磨—喷PE底漆—打磨—喷面漆（双组份环保水性面漆），油漆采用环保水性漆（提供对应的</w:t>
            </w:r>
            <w:r>
              <w:rPr>
                <w:rFonts w:hint="eastAsia" w:ascii="宋体" w:hAnsi="宋体" w:cs="宋体"/>
                <w:b/>
                <w:bCs/>
                <w:color w:val="auto"/>
                <w:highlight w:val="none"/>
                <w:lang w:val="en-US" w:eastAsia="zh-CN"/>
              </w:rPr>
              <w:t>PU透明底漆检测报告</w:t>
            </w:r>
            <w:r>
              <w:rPr>
                <w:rFonts w:hint="eastAsia" w:ascii="宋体" w:hAnsi="宋体" w:cs="宋体"/>
                <w:color w:val="auto"/>
                <w:highlight w:val="none"/>
                <w:lang w:val="en-US" w:eastAsia="zh-CN"/>
              </w:rPr>
              <w:t>、</w:t>
            </w:r>
            <w:r>
              <w:rPr>
                <w:rFonts w:hint="eastAsia" w:ascii="宋体" w:hAnsi="宋体" w:cs="宋体"/>
                <w:b/>
                <w:bCs/>
                <w:color w:val="auto"/>
                <w:highlight w:val="none"/>
                <w:lang w:val="en-US" w:eastAsia="zh-CN"/>
              </w:rPr>
              <w:t>水性透明底漆检测报告</w:t>
            </w:r>
            <w:r>
              <w:rPr>
                <w:rFonts w:hint="eastAsia" w:ascii="宋体" w:hAnsi="宋体" w:cs="宋体"/>
                <w:color w:val="auto"/>
                <w:highlight w:val="none"/>
                <w:lang w:val="en-US" w:eastAsia="zh-CN"/>
              </w:rPr>
              <w:t>、</w:t>
            </w:r>
            <w:r>
              <w:rPr>
                <w:rFonts w:hint="eastAsia" w:ascii="宋体" w:hAnsi="宋体" w:cs="宋体"/>
                <w:b/>
                <w:bCs/>
                <w:color w:val="auto"/>
                <w:highlight w:val="none"/>
                <w:lang w:val="en-US" w:eastAsia="zh-CN"/>
              </w:rPr>
              <w:t>水性双组份清面漆检测报告</w:t>
            </w:r>
            <w:r>
              <w:rPr>
                <w:rFonts w:hint="eastAsia" w:ascii="宋体" w:hAnsi="宋体" w:cs="宋体"/>
                <w:color w:val="auto"/>
                <w:highlight w:val="none"/>
                <w:lang w:val="en-US" w:eastAsia="zh-CN"/>
              </w:rPr>
              <w:t>）。</w:t>
            </w:r>
          </w:p>
        </w:tc>
      </w:tr>
      <w:tr w14:paraId="06DBFA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6" w:type="pct"/>
            <w:vAlign w:val="center"/>
          </w:tcPr>
          <w:p w14:paraId="162119B8">
            <w:pPr>
              <w:snapToGrid w:val="0"/>
              <w:ind w:right="-78" w:rightChars="-37"/>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2</w:t>
            </w:r>
          </w:p>
        </w:tc>
        <w:tc>
          <w:tcPr>
            <w:tcW w:w="664" w:type="pct"/>
            <w:vAlign w:val="center"/>
          </w:tcPr>
          <w:p w14:paraId="2D713915">
            <w:pPr>
              <w:snapToGrid w:val="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多层实木夹板（贴皮加封边，漏出板芯）</w:t>
            </w:r>
          </w:p>
        </w:tc>
        <w:tc>
          <w:tcPr>
            <w:tcW w:w="505" w:type="pct"/>
            <w:vAlign w:val="center"/>
          </w:tcPr>
          <w:p w14:paraId="049ED63E">
            <w:pPr>
              <w:snapToGrid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w:t>
            </w:r>
          </w:p>
        </w:tc>
        <w:tc>
          <w:tcPr>
            <w:tcW w:w="1045" w:type="pct"/>
            <w:vAlign w:val="center"/>
          </w:tcPr>
          <w:p w14:paraId="7B955CB2">
            <w:pPr>
              <w:snapToGrid w:val="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不超过</w:t>
            </w:r>
          </w:p>
          <w:p w14:paraId="46078CD3">
            <w:pPr>
              <w:snapToGrid w:val="0"/>
              <w:jc w:val="center"/>
              <w:rPr>
                <w:rFonts w:hint="default" w:eastAsia="宋体"/>
                <w:color w:val="auto"/>
                <w:lang w:val="en-US" w:eastAsia="zh-CN"/>
              </w:rPr>
            </w:pPr>
            <w:r>
              <w:rPr>
                <w:rFonts w:hint="eastAsia" w:ascii="宋体" w:hAnsi="宋体"/>
                <w:color w:val="auto"/>
                <w:szCs w:val="21"/>
                <w:highlight w:val="none"/>
                <w:lang w:val="en-US" w:eastAsia="zh-CN"/>
              </w:rPr>
              <w:t>2</w:t>
            </w:r>
            <w:r>
              <w:rPr>
                <w:rFonts w:hint="eastAsia" w:ascii="宋体" w:hAnsi="宋体"/>
                <w:color w:val="auto"/>
                <w:szCs w:val="21"/>
                <w:highlight w:val="none"/>
              </w:rPr>
              <w:t>00*200*</w:t>
            </w:r>
            <w:r>
              <w:rPr>
                <w:rFonts w:hint="eastAsia" w:ascii="宋体" w:hAnsi="宋体"/>
                <w:color w:val="auto"/>
                <w:szCs w:val="21"/>
                <w:highlight w:val="none"/>
                <w:lang w:val="en-US" w:eastAsia="zh-CN"/>
              </w:rPr>
              <w:t>50</w:t>
            </w:r>
          </w:p>
        </w:tc>
        <w:tc>
          <w:tcPr>
            <w:tcW w:w="2496" w:type="pct"/>
            <w:tcBorders>
              <w:right w:val="single" w:color="auto" w:sz="4" w:space="0"/>
            </w:tcBorders>
            <w:vAlign w:val="center"/>
          </w:tcPr>
          <w:p w14:paraId="5CB2A32F">
            <w:pPr>
              <w:snapToGrid w:val="0"/>
              <w:jc w:val="both"/>
              <w:rPr>
                <w:rFonts w:hint="eastAsia" w:ascii="宋体" w:hAnsi="宋体" w:cs="Times New Roman"/>
                <w:color w:val="auto"/>
                <w:szCs w:val="21"/>
                <w:highlight w:val="none"/>
                <w:lang w:val="en-US" w:eastAsia="zh-CN"/>
              </w:rPr>
            </w:pPr>
            <w:r>
              <w:rPr>
                <w:rFonts w:hint="eastAsia" w:ascii="宋体" w:hAnsi="宋体" w:cs="Times New Roman"/>
                <w:color w:val="auto"/>
                <w:szCs w:val="21"/>
                <w:highlight w:val="none"/>
                <w:lang w:val="en-US" w:eastAsia="zh-CN"/>
              </w:rPr>
              <w:t>贴三聚氰胺膜纸（与榉木板颜色相近），使用PUR封边工艺，甲醛释放量必须达到 GB 39600-2021《人造板及其制品甲醛释放量分级》 ENF级（≤0.025 mg/m³）以上标准。（提供对应板材环保检测报告）</w:t>
            </w:r>
          </w:p>
        </w:tc>
      </w:tr>
    </w:tbl>
    <w:p w14:paraId="47661A1E">
      <w:pPr>
        <w:snapToGrid w:val="0"/>
        <w:spacing w:line="360" w:lineRule="auto"/>
        <w:jc w:val="left"/>
        <w:rPr>
          <w:rFonts w:hint="eastAsia" w:ascii="宋体" w:hAnsi="宋体"/>
          <w:color w:val="auto"/>
          <w:szCs w:val="21"/>
          <w:highlight w:val="none"/>
        </w:rPr>
      </w:pPr>
    </w:p>
    <w:p w14:paraId="659A99CB">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hint="eastAsia" w:ascii="宋体" w:hAnsi="宋体"/>
          <w:color w:val="auto"/>
          <w:szCs w:val="21"/>
          <w:highlight w:val="none"/>
        </w:rPr>
        <w:t>样品是投标文件的组成部分，样品的制作、运输等相关费用由投标人承担。</w:t>
      </w:r>
    </w:p>
    <w:p w14:paraId="6EA80229">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hint="eastAsia" w:ascii="宋体" w:hAnsi="宋体"/>
          <w:color w:val="auto"/>
          <w:szCs w:val="21"/>
          <w:highlight w:val="none"/>
        </w:rPr>
        <w:t>不提交样品的投标人在</w:t>
      </w:r>
      <w:r>
        <w:rPr>
          <w:rFonts w:hint="eastAsia" w:ascii="宋体" w:hAnsi="宋体"/>
          <w:color w:val="auto"/>
          <w:szCs w:val="21"/>
          <w:highlight w:val="none"/>
          <w:lang w:eastAsia="zh-CN"/>
        </w:rPr>
        <w:t>评标</w:t>
      </w:r>
      <w:r>
        <w:rPr>
          <w:rFonts w:hint="eastAsia" w:ascii="宋体" w:hAnsi="宋体"/>
          <w:color w:val="auto"/>
          <w:szCs w:val="21"/>
          <w:highlight w:val="none"/>
        </w:rPr>
        <w:t>中的样品部分得分为0。</w:t>
      </w:r>
    </w:p>
    <w:p w14:paraId="4D509ECF">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hint="eastAsia" w:ascii="宋体" w:hAnsi="宋体"/>
          <w:color w:val="auto"/>
          <w:szCs w:val="21"/>
          <w:highlight w:val="none"/>
        </w:rPr>
        <w:t>样品的各项技术质量指标标准应符合规定</w:t>
      </w:r>
      <w:r>
        <w:rPr>
          <w:rFonts w:ascii="宋体" w:hAnsi="宋体"/>
          <w:color w:val="auto"/>
          <w:szCs w:val="21"/>
          <w:highlight w:val="none"/>
        </w:rPr>
        <w:t>。</w:t>
      </w:r>
    </w:p>
    <w:p w14:paraId="37E674AA">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hint="eastAsia" w:ascii="宋体" w:hAnsi="宋体"/>
          <w:color w:val="auto"/>
          <w:szCs w:val="21"/>
          <w:highlight w:val="none"/>
        </w:rPr>
        <w:t>样品的递交：</w:t>
      </w:r>
    </w:p>
    <w:p w14:paraId="6094DA5B">
      <w:pPr>
        <w:snapToGrid w:val="0"/>
        <w:spacing w:line="360" w:lineRule="auto"/>
        <w:jc w:val="left"/>
        <w:rPr>
          <w:rFonts w:hint="eastAsia" w:ascii="宋体" w:hAnsi="宋体"/>
          <w:color w:val="auto"/>
          <w:szCs w:val="21"/>
          <w:highlight w:val="none"/>
        </w:rPr>
      </w:pPr>
      <w:r>
        <w:rPr>
          <w:rFonts w:ascii="宋体" w:hAnsi="宋体"/>
          <w:color w:val="auto"/>
          <w:szCs w:val="21"/>
          <w:highlight w:val="none"/>
        </w:rPr>
        <w:t>6.1</w:t>
      </w:r>
      <w:r>
        <w:rPr>
          <w:rFonts w:hint="eastAsia" w:ascii="宋体" w:hAnsi="宋体"/>
          <w:color w:val="auto"/>
          <w:szCs w:val="21"/>
          <w:highlight w:val="none"/>
        </w:rPr>
        <w:t>投标人应按招标文件要求准备样品，每个样品</w:t>
      </w:r>
      <w:r>
        <w:rPr>
          <w:rFonts w:hint="eastAsia" w:ascii="宋体" w:hAnsi="宋体"/>
          <w:color w:val="auto"/>
          <w:szCs w:val="21"/>
          <w:highlight w:val="none"/>
          <w:lang w:val="en-US" w:eastAsia="zh-CN"/>
        </w:rPr>
        <w:t>独立封装并在封面和样品正面标识</w:t>
      </w:r>
      <w:r>
        <w:rPr>
          <w:rFonts w:hint="eastAsia" w:ascii="宋体" w:hAnsi="宋体"/>
          <w:color w:val="auto"/>
          <w:szCs w:val="21"/>
          <w:highlight w:val="none"/>
        </w:rPr>
        <w:t>（项目名称、</w:t>
      </w:r>
      <w:r>
        <w:rPr>
          <w:rFonts w:hint="eastAsia" w:ascii="宋体" w:hAnsi="宋体" w:cs="宋体"/>
          <w:color w:val="auto"/>
          <w:kern w:val="0"/>
          <w:szCs w:val="21"/>
          <w:highlight w:val="none"/>
        </w:rPr>
        <w:t>投标人</w:t>
      </w:r>
      <w:r>
        <w:rPr>
          <w:rFonts w:hint="eastAsia" w:ascii="宋体" w:hAnsi="宋体"/>
          <w:color w:val="auto"/>
          <w:szCs w:val="21"/>
          <w:highlight w:val="none"/>
        </w:rPr>
        <w:t>名称、样品名称、规格型号等详细信息）</w:t>
      </w:r>
      <w:r>
        <w:rPr>
          <w:rFonts w:hint="eastAsia" w:ascii="宋体" w:hAnsi="宋体"/>
          <w:color w:val="auto"/>
          <w:szCs w:val="21"/>
          <w:highlight w:val="none"/>
          <w:lang w:eastAsia="zh-CN"/>
        </w:rPr>
        <w:t>，</w:t>
      </w:r>
      <w:r>
        <w:rPr>
          <w:rFonts w:hint="eastAsia" w:ascii="宋体" w:hAnsi="宋体"/>
          <w:color w:val="auto"/>
          <w:szCs w:val="21"/>
          <w:highlight w:val="none"/>
        </w:rPr>
        <w:t>加盖</w:t>
      </w:r>
      <w:r>
        <w:rPr>
          <w:rFonts w:hint="eastAsia" w:ascii="宋体" w:hAnsi="宋体" w:cs="宋体"/>
          <w:color w:val="auto"/>
          <w:kern w:val="0"/>
          <w:szCs w:val="21"/>
          <w:highlight w:val="none"/>
        </w:rPr>
        <w:t>投标人</w:t>
      </w:r>
      <w:r>
        <w:rPr>
          <w:rFonts w:hint="eastAsia" w:ascii="宋体" w:hAnsi="宋体"/>
          <w:color w:val="auto"/>
          <w:szCs w:val="21"/>
          <w:highlight w:val="none"/>
        </w:rPr>
        <w:t>公章。</w:t>
      </w:r>
    </w:p>
    <w:p w14:paraId="4FB4523A">
      <w:pPr>
        <w:snapToGrid w:val="0"/>
        <w:spacing w:line="360" w:lineRule="auto"/>
        <w:jc w:val="left"/>
        <w:rPr>
          <w:rFonts w:hint="eastAsia" w:ascii="宋体" w:hAnsi="宋体"/>
          <w:color w:val="auto"/>
          <w:szCs w:val="21"/>
          <w:highlight w:val="none"/>
        </w:rPr>
      </w:pPr>
      <w:r>
        <w:rPr>
          <w:rFonts w:ascii="宋体" w:hAnsi="宋体"/>
          <w:color w:val="auto"/>
          <w:szCs w:val="21"/>
          <w:highlight w:val="none"/>
        </w:rPr>
        <w:t>6.2</w:t>
      </w:r>
      <w:r>
        <w:rPr>
          <w:rFonts w:hint="eastAsia" w:ascii="宋体" w:hAnsi="宋体"/>
          <w:b/>
          <w:bCs/>
          <w:color w:val="auto"/>
          <w:szCs w:val="21"/>
          <w:highlight w:val="none"/>
        </w:rPr>
        <w:t>提交样</w:t>
      </w:r>
      <w:r>
        <w:rPr>
          <w:rFonts w:hint="eastAsia" w:ascii="宋体" w:hAnsi="宋体"/>
          <w:b/>
          <w:bCs/>
          <w:color w:val="auto"/>
          <w:szCs w:val="21"/>
          <w:highlight w:val="none"/>
          <w:lang w:val="en-US" w:eastAsia="zh-CN"/>
        </w:rPr>
        <w:t>品</w:t>
      </w:r>
      <w:r>
        <w:rPr>
          <w:rFonts w:hint="eastAsia" w:ascii="宋体" w:hAnsi="宋体"/>
          <w:b/>
          <w:bCs/>
          <w:color w:val="auto"/>
          <w:szCs w:val="21"/>
          <w:highlight w:val="none"/>
        </w:rPr>
        <w:t>时间及地点：</w:t>
      </w:r>
    </w:p>
    <w:p w14:paraId="52AF24F0">
      <w:pPr>
        <w:autoSpaceDE w:val="0"/>
        <w:autoSpaceDN w:val="0"/>
        <w:adjustRightInd w:val="0"/>
        <w:snapToGrid w:val="0"/>
        <w:spacing w:line="360" w:lineRule="auto"/>
        <w:ind w:left="420"/>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b/>
          <w:bCs/>
          <w:color w:val="auto"/>
          <w:szCs w:val="21"/>
          <w:highlight w:val="none"/>
        </w:rPr>
        <w:t xml:space="preserve"> 以邮寄方式递交（在</w:t>
      </w:r>
      <w:r>
        <w:rPr>
          <w:rFonts w:hint="eastAsia" w:ascii="宋体" w:hAnsi="宋体"/>
          <w:b/>
          <w:bCs/>
          <w:color w:val="auto"/>
          <w:szCs w:val="21"/>
          <w:highlight w:val="none"/>
          <w:lang w:val="en-US" w:eastAsia="zh-CN"/>
        </w:rPr>
        <w:t>投标</w:t>
      </w:r>
      <w:r>
        <w:rPr>
          <w:rFonts w:hint="eastAsia" w:ascii="宋体" w:hAnsi="宋体"/>
          <w:b/>
          <w:bCs/>
          <w:color w:val="auto"/>
          <w:szCs w:val="21"/>
          <w:highlight w:val="none"/>
        </w:rPr>
        <w:t>文件递交截止时间前一天寄达）</w:t>
      </w:r>
      <w:r>
        <w:rPr>
          <w:rFonts w:hint="eastAsia" w:ascii="宋体" w:hAnsi="宋体"/>
          <w:color w:val="auto"/>
          <w:szCs w:val="21"/>
          <w:highlight w:val="none"/>
        </w:rPr>
        <w:t>：广州市番禺区石壁街道钟顺路626号行政楼二楼，收件人：刘小姐，电话：020-84539889。</w:t>
      </w:r>
    </w:p>
    <w:p w14:paraId="738A2C2B">
      <w:pPr>
        <w:autoSpaceDE w:val="0"/>
        <w:autoSpaceDN w:val="0"/>
        <w:adjustRightInd w:val="0"/>
        <w:snapToGrid w:val="0"/>
        <w:spacing w:line="360" w:lineRule="auto"/>
        <w:ind w:left="420"/>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b/>
          <w:bCs/>
          <w:color w:val="auto"/>
          <w:szCs w:val="21"/>
          <w:highlight w:val="none"/>
        </w:rPr>
        <w:t xml:space="preserve"> 以直接送达方式递交（在</w:t>
      </w:r>
      <w:r>
        <w:rPr>
          <w:rFonts w:hint="eastAsia" w:ascii="宋体" w:hAnsi="宋体"/>
          <w:b/>
          <w:bCs/>
          <w:color w:val="auto"/>
          <w:szCs w:val="21"/>
          <w:highlight w:val="none"/>
          <w:lang w:val="en-US" w:eastAsia="zh-CN"/>
        </w:rPr>
        <w:t>投标</w:t>
      </w:r>
      <w:r>
        <w:rPr>
          <w:rFonts w:hint="eastAsia" w:ascii="宋体" w:hAnsi="宋体"/>
          <w:b/>
          <w:bCs/>
          <w:color w:val="auto"/>
          <w:szCs w:val="21"/>
          <w:highlight w:val="none"/>
        </w:rPr>
        <w:t>文件递交截止时间半小时</w:t>
      </w:r>
      <w:r>
        <w:rPr>
          <w:rFonts w:hint="eastAsia" w:ascii="宋体" w:hAnsi="宋体"/>
          <w:b/>
          <w:bCs/>
          <w:color w:val="auto"/>
          <w:szCs w:val="21"/>
          <w:highlight w:val="none"/>
          <w:lang w:val="en-US" w:eastAsia="zh-CN"/>
        </w:rPr>
        <w:t>前</w:t>
      </w:r>
      <w:r>
        <w:rPr>
          <w:rFonts w:hint="eastAsia" w:ascii="宋体" w:hAnsi="宋体"/>
          <w:b/>
          <w:bCs/>
          <w:color w:val="auto"/>
          <w:szCs w:val="21"/>
          <w:highlight w:val="none"/>
        </w:rPr>
        <w:t>送达）</w:t>
      </w:r>
      <w:r>
        <w:rPr>
          <w:rFonts w:hint="eastAsia" w:ascii="宋体" w:hAnsi="宋体"/>
          <w:color w:val="auto"/>
          <w:szCs w:val="21"/>
          <w:highlight w:val="none"/>
        </w:rPr>
        <w:t>：广州市番禺区石壁街道钟顺路626号行政楼二楼，收件人：刘小姐，电话：020-84539889。</w:t>
      </w:r>
    </w:p>
    <w:p w14:paraId="7D379C5D">
      <w:pPr>
        <w:tabs>
          <w:tab w:val="left" w:pos="315"/>
          <w:tab w:val="left" w:pos="1785"/>
          <w:tab w:val="left" w:pos="2310"/>
          <w:tab w:val="left" w:pos="8640"/>
        </w:tabs>
        <w:snapToGrid w:val="0"/>
        <w:spacing w:line="360" w:lineRule="auto"/>
        <w:ind w:firstLine="422"/>
        <w:jc w:val="left"/>
        <w:rPr>
          <w:b/>
          <w:bCs/>
          <w:color w:val="auto"/>
          <w:szCs w:val="24"/>
          <w:highlight w:val="none"/>
        </w:rPr>
      </w:pPr>
      <w:r>
        <w:rPr>
          <w:rFonts w:hint="eastAsia"/>
          <w:b/>
          <w:bCs/>
          <w:color w:val="auto"/>
          <w:szCs w:val="24"/>
          <w:highlight w:val="none"/>
        </w:rPr>
        <w:t>请各投标人提前安排好送达工作，逾期送达的样品不予接收。</w:t>
      </w:r>
    </w:p>
    <w:p w14:paraId="76B5710E">
      <w:pPr>
        <w:numPr>
          <w:ilvl w:val="0"/>
          <w:numId w:val="3"/>
        </w:numPr>
        <w:tabs>
          <w:tab w:val="left" w:pos="360"/>
        </w:tabs>
        <w:adjustRightInd w:val="0"/>
        <w:snapToGrid w:val="0"/>
        <w:spacing w:line="360" w:lineRule="auto"/>
        <w:ind w:left="360"/>
        <w:jc w:val="left"/>
        <w:rPr>
          <w:rFonts w:hint="eastAsia" w:ascii="宋体" w:hAnsi="宋体"/>
          <w:color w:val="auto"/>
          <w:szCs w:val="21"/>
          <w:highlight w:val="none"/>
        </w:rPr>
      </w:pPr>
      <w:r>
        <w:rPr>
          <w:rFonts w:hint="eastAsia" w:ascii="宋体" w:hAnsi="宋体"/>
          <w:color w:val="auto"/>
          <w:szCs w:val="21"/>
          <w:highlight w:val="none"/>
        </w:rPr>
        <w:t>样品的退还及封样：</w:t>
      </w:r>
    </w:p>
    <w:p w14:paraId="5CDA1A54">
      <w:pPr>
        <w:snapToGrid w:val="0"/>
        <w:spacing w:line="360" w:lineRule="auto"/>
        <w:jc w:val="left"/>
        <w:rPr>
          <w:rFonts w:hint="eastAsia" w:ascii="宋体" w:hAnsi="宋体"/>
          <w:color w:val="auto"/>
          <w:szCs w:val="21"/>
          <w:highlight w:val="none"/>
        </w:rPr>
      </w:pPr>
      <w:r>
        <w:rPr>
          <w:rFonts w:ascii="宋体" w:hAnsi="宋体"/>
          <w:color w:val="auto"/>
          <w:szCs w:val="21"/>
          <w:highlight w:val="none"/>
        </w:rPr>
        <w:t>7</w:t>
      </w:r>
      <w:r>
        <w:rPr>
          <w:rFonts w:hint="eastAsia" w:ascii="宋体" w:hAnsi="宋体"/>
          <w:color w:val="auto"/>
          <w:szCs w:val="21"/>
          <w:highlight w:val="none"/>
        </w:rPr>
        <w:t>.1未中标人的样品，在招标</w:t>
      </w:r>
      <w:r>
        <w:rPr>
          <w:rFonts w:hint="eastAsia" w:ascii="宋体" w:hAnsi="宋体"/>
          <w:color w:val="auto"/>
          <w:szCs w:val="21"/>
          <w:highlight w:val="none"/>
          <w:lang w:eastAsia="zh-CN"/>
        </w:rPr>
        <w:t>人</w:t>
      </w:r>
      <w:r>
        <w:rPr>
          <w:rFonts w:hint="eastAsia" w:ascii="宋体" w:hAnsi="宋体"/>
          <w:color w:val="auto"/>
          <w:szCs w:val="21"/>
          <w:highlight w:val="none"/>
        </w:rPr>
        <w:t>通知后三天内取回，如不按时取回样品，则视为自动放弃样品的所有权，</w:t>
      </w:r>
      <w:r>
        <w:rPr>
          <w:rFonts w:hint="eastAsia" w:ascii="宋体" w:hAnsi="宋体"/>
          <w:color w:val="auto"/>
          <w:szCs w:val="21"/>
          <w:highlight w:val="none"/>
          <w:lang w:eastAsia="zh-CN"/>
        </w:rPr>
        <w:t>招标人</w:t>
      </w:r>
      <w:r>
        <w:rPr>
          <w:rFonts w:hint="eastAsia" w:ascii="宋体" w:hAnsi="宋体"/>
          <w:color w:val="auto"/>
          <w:szCs w:val="21"/>
          <w:highlight w:val="none"/>
        </w:rPr>
        <w:t>有权自行处置相关样品。</w:t>
      </w:r>
    </w:p>
    <w:p w14:paraId="69177DFD">
      <w:pPr>
        <w:snapToGrid w:val="0"/>
        <w:spacing w:line="360" w:lineRule="auto"/>
        <w:jc w:val="left"/>
        <w:rPr>
          <w:rFonts w:hint="eastAsia" w:ascii="宋体" w:hAnsi="宋体"/>
          <w:color w:val="auto"/>
          <w:szCs w:val="21"/>
          <w:highlight w:val="none"/>
        </w:rPr>
      </w:pPr>
      <w:r>
        <w:rPr>
          <w:rFonts w:ascii="宋体" w:hAnsi="宋体"/>
          <w:color w:val="auto"/>
          <w:szCs w:val="21"/>
          <w:highlight w:val="none"/>
        </w:rPr>
        <w:t>7</w:t>
      </w:r>
      <w:r>
        <w:rPr>
          <w:rFonts w:hint="eastAsia" w:ascii="宋体" w:hAnsi="宋体"/>
          <w:color w:val="auto"/>
          <w:szCs w:val="21"/>
          <w:highlight w:val="none"/>
        </w:rPr>
        <w:t>.2中标人的样品在项目</w:t>
      </w:r>
      <w:r>
        <w:rPr>
          <w:rFonts w:hint="eastAsia" w:ascii="宋体" w:hAnsi="宋体"/>
          <w:color w:val="auto"/>
          <w:szCs w:val="21"/>
          <w:highlight w:val="none"/>
          <w:lang w:eastAsia="zh-CN"/>
        </w:rPr>
        <w:t>评标</w:t>
      </w:r>
      <w:r>
        <w:rPr>
          <w:rFonts w:hint="eastAsia" w:ascii="宋体" w:hAnsi="宋体"/>
          <w:color w:val="auto"/>
          <w:szCs w:val="21"/>
          <w:highlight w:val="none"/>
        </w:rPr>
        <w:t>结束后，当场封样。封样时招标人或其监督代表在样品上做标识处理并签字确认，作为履约验收的标准。</w:t>
      </w:r>
      <w:r>
        <w:rPr>
          <w:rFonts w:hint="eastAsia" w:ascii="宋体" w:hAnsi="宋体"/>
          <w:b/>
          <w:bCs/>
          <w:color w:val="auto"/>
          <w:szCs w:val="21"/>
          <w:highlight w:val="none"/>
        </w:rPr>
        <w:t>如发现样品与其投标产品或投标承诺不符，招标人有权取消其中标资格。</w:t>
      </w:r>
    </w:p>
    <w:p w14:paraId="0D63F7CB">
      <w:pPr>
        <w:widowControl/>
        <w:jc w:val="left"/>
        <w:rPr>
          <w:color w:val="auto"/>
          <w:sz w:val="24"/>
          <w:szCs w:val="24"/>
          <w:highlight w:val="none"/>
        </w:rPr>
      </w:pPr>
    </w:p>
    <w:p w14:paraId="1E8CE162">
      <w:pPr>
        <w:widowControl/>
        <w:jc w:val="left"/>
        <w:rPr>
          <w:color w:val="auto"/>
          <w:sz w:val="24"/>
          <w:szCs w:val="24"/>
          <w:highlight w:val="none"/>
        </w:rPr>
      </w:pPr>
      <w:r>
        <w:rPr>
          <w:color w:val="auto"/>
          <w:sz w:val="24"/>
          <w:szCs w:val="24"/>
          <w:highlight w:val="none"/>
        </w:rPr>
        <w:br w:type="page"/>
      </w:r>
    </w:p>
    <w:p w14:paraId="5B273CE7">
      <w:pPr>
        <w:spacing w:line="480" w:lineRule="exact"/>
        <w:jc w:val="center"/>
        <w:rPr>
          <w:rFonts w:eastAsia="黑体"/>
          <w:b/>
          <w:color w:val="auto"/>
          <w:sz w:val="44"/>
          <w:highlight w:val="none"/>
        </w:rPr>
      </w:pPr>
    </w:p>
    <w:p w14:paraId="4510729E">
      <w:pPr>
        <w:spacing w:line="480" w:lineRule="exact"/>
        <w:jc w:val="center"/>
        <w:rPr>
          <w:rFonts w:eastAsia="黑体"/>
          <w:b/>
          <w:color w:val="auto"/>
          <w:sz w:val="44"/>
          <w:highlight w:val="none"/>
        </w:rPr>
      </w:pPr>
    </w:p>
    <w:p w14:paraId="3FFC07D4">
      <w:pPr>
        <w:spacing w:line="480" w:lineRule="exact"/>
        <w:jc w:val="center"/>
        <w:rPr>
          <w:rFonts w:eastAsia="黑体"/>
          <w:b/>
          <w:color w:val="auto"/>
          <w:sz w:val="44"/>
          <w:highlight w:val="none"/>
        </w:rPr>
      </w:pPr>
    </w:p>
    <w:p w14:paraId="1E2868C2">
      <w:pPr>
        <w:spacing w:line="480" w:lineRule="exact"/>
        <w:jc w:val="center"/>
        <w:rPr>
          <w:rFonts w:eastAsia="黑体"/>
          <w:b/>
          <w:color w:val="auto"/>
          <w:sz w:val="44"/>
          <w:highlight w:val="none"/>
        </w:rPr>
      </w:pPr>
    </w:p>
    <w:p w14:paraId="52419240">
      <w:pPr>
        <w:spacing w:line="480" w:lineRule="exact"/>
        <w:jc w:val="center"/>
        <w:rPr>
          <w:rFonts w:eastAsia="黑体"/>
          <w:b/>
          <w:color w:val="auto"/>
          <w:sz w:val="44"/>
          <w:highlight w:val="none"/>
        </w:rPr>
      </w:pPr>
    </w:p>
    <w:p w14:paraId="022F6D80">
      <w:pPr>
        <w:spacing w:line="480" w:lineRule="exact"/>
        <w:jc w:val="center"/>
        <w:rPr>
          <w:rFonts w:eastAsia="黑体"/>
          <w:b/>
          <w:color w:val="auto"/>
          <w:sz w:val="44"/>
          <w:highlight w:val="none"/>
        </w:rPr>
      </w:pPr>
    </w:p>
    <w:p w14:paraId="1C91C953">
      <w:pPr>
        <w:spacing w:line="480" w:lineRule="exact"/>
        <w:jc w:val="center"/>
        <w:rPr>
          <w:rFonts w:eastAsia="黑体"/>
          <w:b/>
          <w:color w:val="auto"/>
          <w:sz w:val="44"/>
          <w:highlight w:val="none"/>
        </w:rPr>
      </w:pPr>
    </w:p>
    <w:p w14:paraId="1DFB6D9A">
      <w:pPr>
        <w:spacing w:line="480" w:lineRule="exact"/>
        <w:jc w:val="center"/>
        <w:rPr>
          <w:rFonts w:eastAsia="黑体"/>
          <w:b/>
          <w:color w:val="auto"/>
          <w:sz w:val="44"/>
          <w:highlight w:val="none"/>
        </w:rPr>
      </w:pPr>
    </w:p>
    <w:p w14:paraId="3E206CB2">
      <w:pPr>
        <w:spacing w:line="480" w:lineRule="exact"/>
        <w:jc w:val="center"/>
        <w:rPr>
          <w:rFonts w:eastAsia="黑体"/>
          <w:b/>
          <w:color w:val="auto"/>
          <w:sz w:val="44"/>
          <w:highlight w:val="none"/>
        </w:rPr>
      </w:pPr>
    </w:p>
    <w:p w14:paraId="620362E8">
      <w:pPr>
        <w:spacing w:line="480" w:lineRule="exact"/>
        <w:jc w:val="center"/>
        <w:rPr>
          <w:rFonts w:eastAsia="黑体"/>
          <w:b/>
          <w:color w:val="auto"/>
          <w:sz w:val="44"/>
          <w:highlight w:val="none"/>
        </w:rPr>
      </w:pPr>
    </w:p>
    <w:p w14:paraId="54E42DF0">
      <w:pPr>
        <w:spacing w:line="480" w:lineRule="exact"/>
        <w:jc w:val="center"/>
        <w:rPr>
          <w:rFonts w:eastAsia="黑体"/>
          <w:b/>
          <w:color w:val="auto"/>
          <w:sz w:val="44"/>
          <w:highlight w:val="none"/>
        </w:rPr>
      </w:pPr>
    </w:p>
    <w:p w14:paraId="635AB685">
      <w:pPr>
        <w:spacing w:line="480" w:lineRule="exact"/>
        <w:jc w:val="center"/>
        <w:rPr>
          <w:rFonts w:eastAsia="黑体"/>
          <w:b/>
          <w:color w:val="auto"/>
          <w:sz w:val="44"/>
          <w:highlight w:val="none"/>
        </w:rPr>
      </w:pPr>
    </w:p>
    <w:p w14:paraId="0A64238A">
      <w:pPr>
        <w:spacing w:line="480" w:lineRule="exact"/>
        <w:jc w:val="center"/>
        <w:outlineLvl w:val="0"/>
        <w:rPr>
          <w:rFonts w:eastAsia="黑体"/>
          <w:b/>
          <w:color w:val="auto"/>
          <w:sz w:val="44"/>
          <w:highlight w:val="none"/>
        </w:rPr>
      </w:pPr>
      <w:r>
        <w:rPr>
          <w:rFonts w:hint="eastAsia" w:eastAsia="黑体"/>
          <w:b/>
          <w:color w:val="auto"/>
          <w:sz w:val="44"/>
          <w:highlight w:val="none"/>
        </w:rPr>
        <w:t xml:space="preserve">第三部分 </w:t>
      </w:r>
      <w:r>
        <w:rPr>
          <w:rFonts w:eastAsia="黑体"/>
          <w:b/>
          <w:color w:val="auto"/>
          <w:sz w:val="44"/>
          <w:highlight w:val="none"/>
        </w:rPr>
        <w:t xml:space="preserve"> </w:t>
      </w:r>
      <w:r>
        <w:rPr>
          <w:rFonts w:hint="eastAsia" w:eastAsia="黑体"/>
          <w:b/>
          <w:color w:val="auto"/>
          <w:sz w:val="44"/>
          <w:highlight w:val="none"/>
        </w:rPr>
        <w:t>投标人须知</w:t>
      </w:r>
    </w:p>
    <w:p w14:paraId="783C8C90">
      <w:pPr>
        <w:pStyle w:val="13"/>
        <w:jc w:val="center"/>
        <w:rPr>
          <w:rFonts w:hint="eastAsia"/>
          <w:color w:val="auto"/>
          <w:sz w:val="32"/>
          <w:szCs w:val="32"/>
          <w:highlight w:val="none"/>
        </w:rPr>
      </w:pPr>
      <w:r>
        <w:rPr>
          <w:color w:val="auto"/>
          <w:sz w:val="24"/>
          <w:highlight w:val="none"/>
        </w:rPr>
        <w:br w:type="page"/>
      </w:r>
      <w:r>
        <w:rPr>
          <w:rFonts w:hint="eastAsia"/>
          <w:color w:val="auto"/>
          <w:sz w:val="32"/>
          <w:szCs w:val="32"/>
          <w:highlight w:val="none"/>
        </w:rPr>
        <w:t>投标人须知前附表</w:t>
      </w:r>
    </w:p>
    <w:p w14:paraId="6AD7FD5F">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本“投标人须知前附表”是根据本项目的具体情况对“投标人须知”、“评标办法”中有关条款所作的补充和修改。如有不一致的，以本“投标人须知前附表”为准。</w:t>
      </w:r>
    </w:p>
    <w:tbl>
      <w:tblPr>
        <w:tblStyle w:val="22"/>
        <w:tblW w:w="9451"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77"/>
        <w:gridCol w:w="8374"/>
      </w:tblGrid>
      <w:tr w14:paraId="39E1592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blHeader/>
          <w:jc w:val="center"/>
        </w:trPr>
        <w:tc>
          <w:tcPr>
            <w:tcW w:w="1077" w:type="dxa"/>
            <w:vAlign w:val="center"/>
          </w:tcPr>
          <w:p w14:paraId="0869B6A0">
            <w:pPr>
              <w:jc w:val="center"/>
              <w:rPr>
                <w:b/>
                <w:color w:val="auto"/>
                <w:sz w:val="24"/>
                <w:szCs w:val="24"/>
                <w:highlight w:val="none"/>
              </w:rPr>
            </w:pPr>
            <w:r>
              <w:rPr>
                <w:rFonts w:hint="eastAsia"/>
                <w:b/>
                <w:color w:val="auto"/>
                <w:sz w:val="24"/>
                <w:szCs w:val="24"/>
                <w:highlight w:val="none"/>
              </w:rPr>
              <w:t>条款</w:t>
            </w:r>
          </w:p>
          <w:p w14:paraId="0AB824DF">
            <w:pPr>
              <w:jc w:val="center"/>
              <w:rPr>
                <w:b/>
                <w:color w:val="auto"/>
                <w:highlight w:val="none"/>
              </w:rPr>
            </w:pPr>
            <w:r>
              <w:rPr>
                <w:rFonts w:hint="eastAsia"/>
                <w:b/>
                <w:color w:val="auto"/>
                <w:sz w:val="24"/>
                <w:szCs w:val="24"/>
                <w:highlight w:val="none"/>
              </w:rPr>
              <w:t>序号</w:t>
            </w:r>
          </w:p>
        </w:tc>
        <w:tc>
          <w:tcPr>
            <w:tcW w:w="8374" w:type="dxa"/>
            <w:vAlign w:val="center"/>
          </w:tcPr>
          <w:p w14:paraId="6A07FAB7">
            <w:pPr>
              <w:jc w:val="center"/>
              <w:rPr>
                <w:b/>
                <w:color w:val="auto"/>
                <w:sz w:val="24"/>
                <w:szCs w:val="24"/>
                <w:highlight w:val="none"/>
              </w:rPr>
            </w:pPr>
            <w:r>
              <w:rPr>
                <w:rFonts w:hint="eastAsia"/>
                <w:b/>
                <w:color w:val="auto"/>
                <w:sz w:val="24"/>
                <w:szCs w:val="24"/>
                <w:highlight w:val="none"/>
              </w:rPr>
              <w:t>内  容</w:t>
            </w:r>
          </w:p>
        </w:tc>
      </w:tr>
      <w:tr w14:paraId="0C2F818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0D881ED4">
            <w:pPr>
              <w:jc w:val="center"/>
              <w:rPr>
                <w:b/>
                <w:color w:val="auto"/>
                <w:highlight w:val="none"/>
              </w:rPr>
            </w:pPr>
          </w:p>
        </w:tc>
        <w:tc>
          <w:tcPr>
            <w:tcW w:w="8374" w:type="dxa"/>
            <w:vAlign w:val="center"/>
          </w:tcPr>
          <w:p w14:paraId="57BF830D">
            <w:pPr>
              <w:jc w:val="center"/>
              <w:rPr>
                <w:b/>
                <w:color w:val="auto"/>
                <w:highlight w:val="none"/>
              </w:rPr>
            </w:pPr>
            <w:r>
              <w:rPr>
                <w:rFonts w:hint="eastAsia"/>
                <w:b/>
                <w:color w:val="auto"/>
                <w:highlight w:val="none"/>
              </w:rPr>
              <w:t>一、 说明</w:t>
            </w:r>
          </w:p>
        </w:tc>
      </w:tr>
      <w:tr w14:paraId="37DBB002">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3C8E3523">
            <w:pPr>
              <w:spacing w:line="360" w:lineRule="auto"/>
              <w:jc w:val="center"/>
              <w:rPr>
                <w:b/>
                <w:color w:val="auto"/>
                <w:highlight w:val="none"/>
              </w:rPr>
            </w:pPr>
            <w:r>
              <w:rPr>
                <w:rFonts w:hint="eastAsia"/>
                <w:b/>
                <w:color w:val="auto"/>
                <w:highlight w:val="none"/>
              </w:rPr>
              <w:t>1</w:t>
            </w:r>
            <w:r>
              <w:rPr>
                <w:b/>
                <w:color w:val="auto"/>
                <w:highlight w:val="none"/>
              </w:rPr>
              <w:t>.</w:t>
            </w:r>
            <w:r>
              <w:rPr>
                <w:rFonts w:hint="eastAsia"/>
                <w:b/>
                <w:color w:val="auto"/>
                <w:highlight w:val="none"/>
              </w:rPr>
              <w:t>1</w:t>
            </w:r>
          </w:p>
        </w:tc>
        <w:tc>
          <w:tcPr>
            <w:tcW w:w="8374" w:type="dxa"/>
            <w:vAlign w:val="center"/>
          </w:tcPr>
          <w:p w14:paraId="1B4E27CD">
            <w:pPr>
              <w:widowControl/>
              <w:numPr>
                <w:ilvl w:val="1"/>
                <w:numId w:val="4"/>
              </w:numPr>
              <w:tabs>
                <w:tab w:val="left" w:pos="426"/>
              </w:tabs>
              <w:adjustRightInd w:val="0"/>
              <w:snapToGrid w:val="0"/>
              <w:spacing w:line="360" w:lineRule="auto"/>
              <w:ind w:left="0" w:firstLine="0"/>
              <w:jc w:val="left"/>
              <w:rPr>
                <w:rFonts w:hint="eastAsia" w:ascii="宋体" w:hAnsi="宋体" w:cs="宋体"/>
                <w:color w:val="auto"/>
                <w:szCs w:val="21"/>
                <w:highlight w:val="none"/>
              </w:rPr>
            </w:pPr>
            <w:r>
              <w:rPr>
                <w:rFonts w:hint="eastAsia" w:ascii="宋体" w:hAnsi="宋体" w:cs="宋体"/>
                <w:color w:val="auto"/>
                <w:szCs w:val="21"/>
                <w:highlight w:val="none"/>
              </w:rPr>
              <w:t>本项目为</w:t>
            </w:r>
            <w:r>
              <w:rPr>
                <w:rFonts w:hint="eastAsia" w:ascii="宋体" w:hAnsi="宋体"/>
                <w:color w:val="auto"/>
                <w:szCs w:val="24"/>
                <w:highlight w:val="none"/>
              </w:rPr>
              <w:t>广州工控大湾区现代高端装备研发生产基地项目（三期）宿舍家具采购项目，</w:t>
            </w:r>
            <w:r>
              <w:rPr>
                <w:rFonts w:hint="eastAsia" w:ascii="宋体" w:hAnsi="宋体" w:cs="宋体"/>
                <w:color w:val="auto"/>
                <w:szCs w:val="21"/>
                <w:highlight w:val="none"/>
              </w:rPr>
              <w:t>具体数量详见项目清单。</w:t>
            </w:r>
          </w:p>
          <w:p w14:paraId="1D6539E4">
            <w:pPr>
              <w:widowControl/>
              <w:numPr>
                <w:ilvl w:val="1"/>
                <w:numId w:val="4"/>
              </w:numPr>
              <w:tabs>
                <w:tab w:val="left" w:pos="426"/>
              </w:tabs>
              <w:adjustRightInd w:val="0"/>
              <w:snapToGrid w:val="0"/>
              <w:spacing w:line="360" w:lineRule="auto"/>
              <w:ind w:left="0" w:firstLine="0"/>
              <w:jc w:val="left"/>
              <w:rPr>
                <w:rFonts w:hint="eastAsia" w:ascii="宋体" w:hAnsi="宋体" w:cs="宋体"/>
                <w:color w:val="auto"/>
                <w:szCs w:val="21"/>
                <w:highlight w:val="none"/>
              </w:rPr>
            </w:pPr>
            <w:r>
              <w:rPr>
                <w:rFonts w:hint="eastAsia" w:ascii="宋体" w:hAnsi="宋体" w:cs="宋体"/>
                <w:color w:val="auto"/>
                <w:szCs w:val="21"/>
                <w:highlight w:val="none"/>
              </w:rPr>
              <w:t>项目地点：</w:t>
            </w:r>
            <w:r>
              <w:rPr>
                <w:rFonts w:hint="eastAsia" w:ascii="宋体" w:hAnsi="宋体"/>
                <w:color w:val="auto"/>
                <w:szCs w:val="24"/>
                <w:highlight w:val="none"/>
              </w:rPr>
              <w:t>广东省广州市南沙区大岗镇潭新公路362号</w:t>
            </w:r>
            <w:r>
              <w:rPr>
                <w:rFonts w:hint="eastAsia" w:ascii="宋体" w:hAnsi="宋体" w:cs="宋体"/>
                <w:color w:val="auto"/>
                <w:szCs w:val="21"/>
                <w:highlight w:val="none"/>
              </w:rPr>
              <w:t>。</w:t>
            </w:r>
          </w:p>
          <w:p w14:paraId="56242654">
            <w:pPr>
              <w:widowControl/>
              <w:numPr>
                <w:ilvl w:val="1"/>
                <w:numId w:val="4"/>
              </w:numPr>
              <w:tabs>
                <w:tab w:val="left" w:pos="426"/>
              </w:tabs>
              <w:adjustRightInd w:val="0"/>
              <w:snapToGrid w:val="0"/>
              <w:spacing w:line="360" w:lineRule="auto"/>
              <w:ind w:left="0" w:firstLine="0"/>
              <w:jc w:val="left"/>
              <w:rPr>
                <w:rFonts w:hint="eastAsia" w:ascii="宋体" w:hAnsi="宋体" w:cs="宋体"/>
                <w:color w:val="auto"/>
                <w:szCs w:val="21"/>
                <w:highlight w:val="none"/>
              </w:rPr>
            </w:pPr>
            <w:r>
              <w:rPr>
                <w:rFonts w:hint="eastAsia" w:ascii="宋体" w:hAnsi="宋体" w:cs="宋体"/>
                <w:b/>
                <w:color w:val="auto"/>
                <w:szCs w:val="21"/>
                <w:highlight w:val="none"/>
              </w:rPr>
              <w:t>本项目总工期为</w:t>
            </w:r>
            <w:r>
              <w:rPr>
                <w:rFonts w:hint="eastAsia" w:ascii="宋体" w:hAnsi="宋体" w:cs="宋体"/>
                <w:b/>
                <w:color w:val="auto"/>
                <w:szCs w:val="21"/>
                <w:highlight w:val="none"/>
                <w:lang w:val="en-US" w:eastAsia="zh-CN"/>
              </w:rPr>
              <w:t>合同签订后</w:t>
            </w:r>
            <w:r>
              <w:rPr>
                <w:rFonts w:hint="eastAsia" w:ascii="宋体" w:hAnsi="宋体" w:cs="宋体"/>
                <w:b/>
                <w:color w:val="auto"/>
                <w:szCs w:val="21"/>
                <w:highlight w:val="none"/>
                <w:u w:val="single"/>
                <w:lang w:val="en-US" w:eastAsia="zh-CN"/>
              </w:rPr>
              <w:t>30</w:t>
            </w:r>
            <w:r>
              <w:rPr>
                <w:rFonts w:hint="eastAsia" w:ascii="宋体" w:hAnsi="宋体" w:cs="宋体"/>
                <w:b/>
                <w:color w:val="auto"/>
                <w:szCs w:val="21"/>
                <w:highlight w:val="none"/>
              </w:rPr>
              <w:t>天，</w:t>
            </w:r>
            <w:r>
              <w:rPr>
                <w:rFonts w:hint="eastAsia" w:ascii="宋体" w:hAnsi="宋体" w:cs="宋体"/>
                <w:color w:val="auto"/>
                <w:szCs w:val="21"/>
                <w:highlight w:val="none"/>
              </w:rPr>
              <w:t>中标人须采取一切有效措施保证，不得延误。同时，中标人须按照招标人最终确认的家具品种、款式、数量和交货计划进行生产和供货。对于实际交货期的起止时间，招标人有权根据实际项目需要作相应调整，投标人应考虑相关风险并尽一切可能配合招标人调整相应的执行计划，并不得以交货期起止时间变动为由要求调整合同价格。</w:t>
            </w:r>
          </w:p>
          <w:p w14:paraId="06051449">
            <w:pPr>
              <w:widowControl/>
              <w:numPr>
                <w:ilvl w:val="1"/>
                <w:numId w:val="4"/>
              </w:numPr>
              <w:tabs>
                <w:tab w:val="left" w:pos="426"/>
              </w:tabs>
              <w:adjustRightInd w:val="0"/>
              <w:snapToGrid w:val="0"/>
              <w:spacing w:line="360" w:lineRule="auto"/>
              <w:ind w:left="0" w:firstLine="0"/>
              <w:jc w:val="left"/>
              <w:rPr>
                <w:color w:val="auto"/>
                <w:highlight w:val="none"/>
              </w:rPr>
            </w:pPr>
            <w:r>
              <w:rPr>
                <w:rFonts w:hint="eastAsia" w:ascii="宋体" w:hAnsi="宋体" w:cs="宋体"/>
                <w:color w:val="auto"/>
                <w:szCs w:val="21"/>
                <w:highlight w:val="none"/>
              </w:rPr>
              <w:t>本项目最高限价：4</w:t>
            </w:r>
            <w:r>
              <w:rPr>
                <w:rFonts w:hint="eastAsia" w:ascii="宋体" w:hAnsi="宋体" w:cs="宋体"/>
                <w:color w:val="auto"/>
                <w:szCs w:val="21"/>
                <w:highlight w:val="none"/>
                <w:lang w:val="en-US" w:eastAsia="zh-CN"/>
              </w:rPr>
              <w:t>50</w:t>
            </w:r>
            <w:r>
              <w:rPr>
                <w:rFonts w:hint="eastAsia" w:ascii="宋体" w:hAnsi="宋体" w:cs="宋体"/>
                <w:color w:val="auto"/>
                <w:szCs w:val="21"/>
                <w:highlight w:val="none"/>
              </w:rPr>
              <w:t>万元（大写：肆佰</w:t>
            </w:r>
            <w:r>
              <w:rPr>
                <w:rFonts w:hint="eastAsia" w:ascii="宋体" w:hAnsi="宋体" w:cs="宋体"/>
                <w:color w:val="auto"/>
                <w:szCs w:val="21"/>
                <w:highlight w:val="none"/>
                <w:lang w:val="en-US" w:eastAsia="zh-CN"/>
              </w:rPr>
              <w:t>伍拾</w:t>
            </w:r>
            <w:r>
              <w:rPr>
                <w:rFonts w:hint="eastAsia" w:ascii="宋体" w:hAnsi="宋体" w:cs="宋体"/>
                <w:color w:val="auto"/>
                <w:szCs w:val="21"/>
                <w:highlight w:val="none"/>
              </w:rPr>
              <w:t>万元整）。投标人的投标总价不得超出最高限价，否则其投标文件将被否决。</w:t>
            </w:r>
          </w:p>
        </w:tc>
      </w:tr>
      <w:tr w14:paraId="7D18CC0C">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15D45B63">
            <w:pPr>
              <w:spacing w:line="360" w:lineRule="auto"/>
              <w:jc w:val="center"/>
              <w:rPr>
                <w:rFonts w:hint="default" w:eastAsia="宋体"/>
                <w:b/>
                <w:color w:val="auto"/>
                <w:highlight w:val="none"/>
                <w:lang w:val="en-US" w:eastAsia="zh-CN"/>
              </w:rPr>
            </w:pPr>
            <w:r>
              <w:rPr>
                <w:rFonts w:hint="eastAsia"/>
                <w:b/>
                <w:color w:val="auto"/>
                <w:highlight w:val="none"/>
                <w:lang w:val="en-US" w:eastAsia="zh-CN"/>
              </w:rPr>
              <w:t>1.2</w:t>
            </w:r>
          </w:p>
        </w:tc>
        <w:tc>
          <w:tcPr>
            <w:tcW w:w="8374" w:type="dxa"/>
            <w:vAlign w:val="center"/>
          </w:tcPr>
          <w:p w14:paraId="09250A93">
            <w:pPr>
              <w:snapToGrid w:val="0"/>
              <w:spacing w:line="300" w:lineRule="auto"/>
              <w:rPr>
                <w:rFonts w:hint="eastAsia"/>
                <w:color w:val="auto"/>
                <w:highlight w:val="none"/>
              </w:rPr>
            </w:pPr>
            <w:r>
              <w:rPr>
                <w:rFonts w:hint="eastAsia"/>
                <w:color w:val="auto"/>
                <w:highlight w:val="none"/>
              </w:rPr>
              <w:t>招标人名称：广州广重企业集团有限公司</w:t>
            </w:r>
          </w:p>
          <w:p w14:paraId="65A8EA65">
            <w:pPr>
              <w:snapToGrid w:val="0"/>
              <w:spacing w:line="300" w:lineRule="auto"/>
              <w:rPr>
                <w:color w:val="auto"/>
                <w:highlight w:val="none"/>
              </w:rPr>
            </w:pPr>
            <w:r>
              <w:rPr>
                <w:rFonts w:hint="eastAsia"/>
                <w:color w:val="auto"/>
                <w:highlight w:val="none"/>
              </w:rPr>
              <w:t>采购人名称：广州工控智能装备产业有限公司</w:t>
            </w:r>
          </w:p>
        </w:tc>
      </w:tr>
      <w:tr w14:paraId="3B955BB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033DA763">
            <w:pPr>
              <w:tabs>
                <w:tab w:val="left" w:pos="315"/>
                <w:tab w:val="left" w:pos="1785"/>
                <w:tab w:val="left" w:pos="2310"/>
                <w:tab w:val="left" w:pos="8640"/>
              </w:tabs>
              <w:spacing w:line="360" w:lineRule="auto"/>
              <w:jc w:val="center"/>
              <w:rPr>
                <w:b/>
                <w:color w:val="auto"/>
                <w:highlight w:val="none"/>
              </w:rPr>
            </w:pPr>
          </w:p>
        </w:tc>
        <w:tc>
          <w:tcPr>
            <w:tcW w:w="8374" w:type="dxa"/>
            <w:vAlign w:val="center"/>
          </w:tcPr>
          <w:p w14:paraId="16E48DA7">
            <w:pPr>
              <w:jc w:val="center"/>
              <w:rPr>
                <w:b/>
                <w:color w:val="auto"/>
                <w:highlight w:val="none"/>
              </w:rPr>
            </w:pPr>
            <w:r>
              <w:rPr>
                <w:rFonts w:hint="eastAsia"/>
                <w:b/>
                <w:color w:val="auto"/>
                <w:highlight w:val="none"/>
              </w:rPr>
              <w:t>二、 招标文件</w:t>
            </w:r>
          </w:p>
        </w:tc>
      </w:tr>
      <w:tr w14:paraId="521940A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1E1EA826">
            <w:pPr>
              <w:spacing w:line="360" w:lineRule="auto"/>
              <w:jc w:val="center"/>
              <w:rPr>
                <w:b/>
                <w:color w:val="auto"/>
                <w:highlight w:val="none"/>
              </w:rPr>
            </w:pPr>
            <w:r>
              <w:rPr>
                <w:rFonts w:hint="eastAsia"/>
                <w:b/>
                <w:color w:val="auto"/>
                <w:highlight w:val="none"/>
                <w:lang w:val="en-US" w:eastAsia="zh-CN"/>
              </w:rPr>
              <w:t>2</w:t>
            </w:r>
            <w:r>
              <w:rPr>
                <w:rFonts w:hint="eastAsia"/>
                <w:b/>
                <w:color w:val="auto"/>
                <w:highlight w:val="none"/>
              </w:rPr>
              <w:t>.1</w:t>
            </w:r>
          </w:p>
        </w:tc>
        <w:tc>
          <w:tcPr>
            <w:tcW w:w="8374" w:type="dxa"/>
            <w:vAlign w:val="center"/>
          </w:tcPr>
          <w:p w14:paraId="380BEA9E">
            <w:pPr>
              <w:adjustRightInd w:val="0"/>
              <w:snapToGrid w:val="0"/>
              <w:spacing w:before="31" w:beforeLines="10" w:after="31" w:afterLines="10" w:line="300" w:lineRule="auto"/>
              <w:rPr>
                <w:bCs/>
                <w:color w:val="auto"/>
                <w:szCs w:val="24"/>
                <w:highlight w:val="none"/>
              </w:rPr>
            </w:pPr>
            <w:r>
              <w:rPr>
                <w:rFonts w:hint="eastAsia"/>
                <w:b w:val="0"/>
                <w:bCs/>
                <w:color w:val="auto"/>
                <w:highlight w:val="none"/>
              </w:rPr>
              <w:t>本项目</w:t>
            </w:r>
            <w:r>
              <w:rPr>
                <w:rFonts w:hint="eastAsia" w:ascii="宋体" w:hAnsi="宋体"/>
                <w:b w:val="0"/>
                <w:bCs/>
                <w:color w:val="auto"/>
                <w:szCs w:val="21"/>
                <w:highlight w:val="none"/>
              </w:rPr>
              <w:t>将不组织召开答疑会，潜在投标人可以自行组织到现场踏勘。</w:t>
            </w:r>
          </w:p>
        </w:tc>
      </w:tr>
      <w:tr w14:paraId="1520812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686974C6">
            <w:pPr>
              <w:tabs>
                <w:tab w:val="left" w:pos="315"/>
                <w:tab w:val="left" w:pos="1785"/>
                <w:tab w:val="left" w:pos="2310"/>
                <w:tab w:val="left" w:pos="8640"/>
              </w:tabs>
              <w:spacing w:line="360" w:lineRule="auto"/>
              <w:jc w:val="center"/>
              <w:rPr>
                <w:b/>
                <w:color w:val="auto"/>
                <w:highlight w:val="none"/>
              </w:rPr>
            </w:pPr>
          </w:p>
        </w:tc>
        <w:tc>
          <w:tcPr>
            <w:tcW w:w="8374" w:type="dxa"/>
            <w:vAlign w:val="center"/>
          </w:tcPr>
          <w:p w14:paraId="40017790">
            <w:pPr>
              <w:jc w:val="center"/>
              <w:rPr>
                <w:b/>
                <w:color w:val="auto"/>
                <w:highlight w:val="none"/>
              </w:rPr>
            </w:pPr>
            <w:r>
              <w:rPr>
                <w:rFonts w:hint="eastAsia"/>
                <w:b/>
                <w:color w:val="auto"/>
                <w:highlight w:val="none"/>
              </w:rPr>
              <w:t>三、 投标文件的编制</w:t>
            </w:r>
          </w:p>
        </w:tc>
      </w:tr>
      <w:tr w14:paraId="5AFE4FE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679D372E">
            <w:pPr>
              <w:tabs>
                <w:tab w:val="left" w:pos="315"/>
                <w:tab w:val="left" w:pos="1785"/>
                <w:tab w:val="left" w:pos="2310"/>
                <w:tab w:val="left" w:pos="8640"/>
              </w:tabs>
              <w:spacing w:line="360" w:lineRule="auto"/>
              <w:jc w:val="center"/>
              <w:rPr>
                <w:b/>
                <w:color w:val="auto"/>
                <w:highlight w:val="none"/>
              </w:rPr>
            </w:pPr>
            <w:r>
              <w:rPr>
                <w:rFonts w:hint="eastAsia"/>
                <w:b/>
                <w:color w:val="auto"/>
                <w:highlight w:val="none"/>
                <w:lang w:val="en-US" w:eastAsia="zh-CN"/>
              </w:rPr>
              <w:t>3</w:t>
            </w:r>
            <w:r>
              <w:rPr>
                <w:rFonts w:hint="eastAsia"/>
                <w:b/>
                <w:color w:val="auto"/>
                <w:highlight w:val="none"/>
              </w:rPr>
              <w:t>.1</w:t>
            </w:r>
          </w:p>
        </w:tc>
        <w:tc>
          <w:tcPr>
            <w:tcW w:w="8374" w:type="dxa"/>
            <w:vAlign w:val="center"/>
          </w:tcPr>
          <w:p w14:paraId="565DE89E">
            <w:pPr>
              <w:snapToGrid w:val="0"/>
              <w:spacing w:line="300" w:lineRule="auto"/>
              <w:rPr>
                <w:rFonts w:hint="eastAsia" w:ascii="宋体" w:hAnsi="宋体"/>
                <w:color w:val="auto"/>
                <w:highlight w:val="none"/>
              </w:rPr>
            </w:pPr>
            <w:r>
              <w:rPr>
                <w:rFonts w:hint="eastAsia" w:ascii="宋体" w:hAnsi="宋体"/>
                <w:color w:val="auto"/>
                <w:highlight w:val="none"/>
              </w:rPr>
              <w:t>本次招标是否允许投标人提交备选方案：不允许。</w:t>
            </w:r>
          </w:p>
        </w:tc>
      </w:tr>
      <w:tr w14:paraId="7359612D">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2C9E9B81">
            <w:pPr>
              <w:tabs>
                <w:tab w:val="left" w:pos="315"/>
                <w:tab w:val="left" w:pos="1785"/>
                <w:tab w:val="left" w:pos="2310"/>
                <w:tab w:val="left" w:pos="8640"/>
              </w:tabs>
              <w:spacing w:line="360" w:lineRule="auto"/>
              <w:jc w:val="center"/>
              <w:rPr>
                <w:rFonts w:hint="default" w:eastAsia="宋体"/>
                <w:b/>
                <w:color w:val="auto"/>
                <w:highlight w:val="none"/>
                <w:lang w:val="en-US" w:eastAsia="zh-CN"/>
              </w:rPr>
            </w:pPr>
            <w:r>
              <w:rPr>
                <w:rFonts w:hint="eastAsia"/>
                <w:b/>
                <w:color w:val="auto"/>
                <w:highlight w:val="none"/>
                <w:lang w:val="en-US" w:eastAsia="zh-CN"/>
              </w:rPr>
              <w:t>3.2</w:t>
            </w:r>
          </w:p>
        </w:tc>
        <w:tc>
          <w:tcPr>
            <w:tcW w:w="8374" w:type="dxa"/>
            <w:vAlign w:val="center"/>
          </w:tcPr>
          <w:p w14:paraId="3C1E6E30">
            <w:pPr>
              <w:snapToGrid w:val="0"/>
              <w:spacing w:line="300" w:lineRule="auto"/>
              <w:rPr>
                <w:rFonts w:hint="eastAsia" w:ascii="宋体" w:hAnsi="宋体"/>
                <w:color w:val="auto"/>
                <w:highlight w:val="none"/>
              </w:rPr>
            </w:pPr>
            <w:r>
              <w:rPr>
                <w:rFonts w:hint="eastAsia" w:ascii="宋体" w:hAnsi="宋体"/>
                <w:color w:val="auto"/>
                <w:highlight w:val="none"/>
              </w:rPr>
              <w:t>本次招标是否接受联合体参加投标：不接受。</w:t>
            </w:r>
          </w:p>
        </w:tc>
      </w:tr>
      <w:tr w14:paraId="256528F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A75FEBA">
            <w:pPr>
              <w:tabs>
                <w:tab w:val="left" w:pos="315"/>
                <w:tab w:val="left" w:pos="1785"/>
                <w:tab w:val="left" w:pos="2310"/>
                <w:tab w:val="left" w:pos="8640"/>
              </w:tabs>
              <w:spacing w:line="360" w:lineRule="auto"/>
              <w:jc w:val="center"/>
              <w:rPr>
                <w:rFonts w:hint="default" w:eastAsia="宋体"/>
                <w:b/>
                <w:color w:val="auto"/>
                <w:highlight w:val="none"/>
                <w:lang w:val="en-US" w:eastAsia="zh-CN"/>
              </w:rPr>
            </w:pPr>
            <w:r>
              <w:rPr>
                <w:rFonts w:hint="eastAsia"/>
                <w:b/>
                <w:color w:val="auto"/>
                <w:highlight w:val="none"/>
                <w:lang w:val="en-US" w:eastAsia="zh-CN"/>
              </w:rPr>
              <w:t>3.3</w:t>
            </w:r>
          </w:p>
        </w:tc>
        <w:tc>
          <w:tcPr>
            <w:tcW w:w="8374" w:type="dxa"/>
            <w:vAlign w:val="center"/>
          </w:tcPr>
          <w:p w14:paraId="1691812F">
            <w:pPr>
              <w:snapToGrid w:val="0"/>
              <w:spacing w:line="300" w:lineRule="auto"/>
              <w:rPr>
                <w:rFonts w:hint="eastAsia" w:ascii="宋体" w:hAnsi="宋体"/>
                <w:color w:val="auto"/>
                <w:highlight w:val="none"/>
              </w:rPr>
            </w:pPr>
            <w:r>
              <w:rPr>
                <w:rFonts w:hint="eastAsia" w:ascii="宋体" w:hAnsi="宋体"/>
                <w:color w:val="auto"/>
                <w:highlight w:val="none"/>
              </w:rPr>
              <w:t>a</w:t>
            </w:r>
            <w:r>
              <w:rPr>
                <w:rFonts w:ascii="宋体" w:hAnsi="宋体"/>
                <w:color w:val="auto"/>
                <w:highlight w:val="none"/>
              </w:rPr>
              <w:t xml:space="preserve">. </w:t>
            </w:r>
            <w:r>
              <w:rPr>
                <w:rFonts w:hint="eastAsia" w:ascii="宋体" w:hAnsi="宋体"/>
                <w:color w:val="auto"/>
                <w:highlight w:val="none"/>
              </w:rPr>
              <w:t>经验与业绩：如招标文件有要求，投标人按“合格投标人条件”、“第四部分</w:t>
            </w:r>
            <w:r>
              <w:rPr>
                <w:rFonts w:ascii="宋体" w:hAnsi="宋体"/>
                <w:color w:val="auto"/>
                <w:highlight w:val="none"/>
              </w:rPr>
              <w:t xml:space="preserve"> 评标方法”《</w:t>
            </w:r>
            <w:r>
              <w:rPr>
                <w:rFonts w:hint="eastAsia" w:ascii="宋体" w:hAnsi="宋体"/>
                <w:color w:val="auto"/>
                <w:highlight w:val="none"/>
              </w:rPr>
              <w:t>详细</w:t>
            </w:r>
            <w:r>
              <w:rPr>
                <w:rFonts w:hint="eastAsia" w:ascii="宋体" w:hAnsi="宋体"/>
                <w:color w:val="auto"/>
                <w:highlight w:val="none"/>
                <w:lang w:eastAsia="zh-CN"/>
              </w:rPr>
              <w:t>评标</w:t>
            </w:r>
            <w:r>
              <w:rPr>
                <w:rFonts w:ascii="宋体" w:hAnsi="宋体"/>
                <w:color w:val="auto"/>
                <w:highlight w:val="none"/>
              </w:rPr>
              <w:t>表》的要求提供；</w:t>
            </w:r>
          </w:p>
          <w:p w14:paraId="265931DB">
            <w:pPr>
              <w:snapToGrid w:val="0"/>
              <w:spacing w:line="300" w:lineRule="auto"/>
              <w:rPr>
                <w:rFonts w:hint="eastAsia" w:ascii="宋体" w:hAnsi="宋体"/>
                <w:color w:val="auto"/>
                <w:highlight w:val="none"/>
              </w:rPr>
            </w:pPr>
            <w:r>
              <w:rPr>
                <w:rFonts w:hint="eastAsia" w:ascii="宋体" w:hAnsi="宋体"/>
                <w:color w:val="auto"/>
                <w:highlight w:val="none"/>
              </w:rPr>
              <w:t>b</w:t>
            </w:r>
            <w:r>
              <w:rPr>
                <w:rFonts w:ascii="宋体" w:hAnsi="宋体"/>
                <w:color w:val="auto"/>
                <w:highlight w:val="none"/>
              </w:rPr>
              <w:t>. 审计报告及年度财务报表</w:t>
            </w:r>
            <w:r>
              <w:rPr>
                <w:rFonts w:hint="eastAsia" w:ascii="宋体" w:hAnsi="宋体"/>
                <w:color w:val="auto"/>
                <w:highlight w:val="none"/>
              </w:rPr>
              <w:t>：如招标文件有要求，投标人按“合格投标人条件”、“第四部分</w:t>
            </w:r>
            <w:r>
              <w:rPr>
                <w:rFonts w:ascii="宋体" w:hAnsi="宋体"/>
                <w:color w:val="auto"/>
                <w:highlight w:val="none"/>
              </w:rPr>
              <w:t xml:space="preserve"> 评标方法”《</w:t>
            </w:r>
            <w:r>
              <w:rPr>
                <w:rFonts w:hint="eastAsia" w:ascii="宋体" w:hAnsi="宋体"/>
                <w:color w:val="auto"/>
                <w:highlight w:val="none"/>
              </w:rPr>
              <w:t>详细</w:t>
            </w:r>
            <w:r>
              <w:rPr>
                <w:rFonts w:hint="eastAsia" w:ascii="宋体" w:hAnsi="宋体"/>
                <w:color w:val="auto"/>
                <w:highlight w:val="none"/>
                <w:lang w:eastAsia="zh-CN"/>
              </w:rPr>
              <w:t>评标</w:t>
            </w:r>
            <w:r>
              <w:rPr>
                <w:rFonts w:ascii="宋体" w:hAnsi="宋体"/>
                <w:color w:val="auto"/>
                <w:highlight w:val="none"/>
              </w:rPr>
              <w:t>表》的要求提供</w:t>
            </w:r>
            <w:r>
              <w:rPr>
                <w:rFonts w:hint="eastAsia" w:ascii="宋体" w:hAnsi="宋体"/>
                <w:color w:val="auto"/>
                <w:highlight w:val="none"/>
              </w:rPr>
              <w:t>；</w:t>
            </w:r>
          </w:p>
          <w:p w14:paraId="2F8AE27D">
            <w:pPr>
              <w:snapToGrid w:val="0"/>
              <w:spacing w:line="300" w:lineRule="auto"/>
              <w:rPr>
                <w:rFonts w:hint="eastAsia" w:ascii="宋体" w:hAnsi="宋体"/>
                <w:color w:val="auto"/>
                <w:highlight w:val="none"/>
              </w:rPr>
            </w:pPr>
            <w:r>
              <w:rPr>
                <w:rFonts w:hint="eastAsia" w:ascii="宋体" w:hAnsi="宋体"/>
                <w:color w:val="auto"/>
                <w:highlight w:val="none"/>
                <w:lang w:val="en-US" w:eastAsia="zh-CN"/>
              </w:rPr>
              <w:t>c</w:t>
            </w:r>
            <w:r>
              <w:rPr>
                <w:rFonts w:ascii="宋体" w:hAnsi="宋体"/>
                <w:color w:val="auto"/>
                <w:highlight w:val="none"/>
              </w:rPr>
              <w:t>.</w:t>
            </w:r>
            <w:r>
              <w:rPr>
                <w:rFonts w:hint="eastAsia" w:ascii="宋体" w:hAnsi="宋体"/>
                <w:color w:val="auto"/>
                <w:highlight w:val="none"/>
              </w:rPr>
              <w:t xml:space="preserve"> 本次招标是否允许投标人将项目分包：否。</w:t>
            </w:r>
          </w:p>
          <w:p w14:paraId="1A999A2D">
            <w:pPr>
              <w:snapToGrid w:val="0"/>
              <w:spacing w:line="300" w:lineRule="auto"/>
              <w:rPr>
                <w:rFonts w:hint="eastAsia" w:ascii="宋体" w:hAnsi="宋体"/>
                <w:color w:val="auto"/>
                <w:highlight w:val="none"/>
              </w:rPr>
            </w:pPr>
            <w:r>
              <w:rPr>
                <w:rFonts w:hint="eastAsia" w:ascii="宋体" w:hAnsi="宋体"/>
                <w:color w:val="auto"/>
                <w:highlight w:val="none"/>
                <w:lang w:val="en-US" w:eastAsia="zh-CN"/>
              </w:rPr>
              <w:t>d</w:t>
            </w:r>
            <w:r>
              <w:rPr>
                <w:rFonts w:ascii="宋体" w:hAnsi="宋体"/>
                <w:color w:val="auto"/>
                <w:highlight w:val="none"/>
              </w:rPr>
              <w:t>.</w:t>
            </w:r>
            <w:r>
              <w:rPr>
                <w:rFonts w:hint="eastAsia" w:ascii="宋体" w:hAnsi="宋体"/>
                <w:color w:val="auto"/>
                <w:highlight w:val="none"/>
              </w:rPr>
              <w:t xml:space="preserve"> 投标人应提供的其它有效文件：如招标文件有要求，投标人按“合格投标人条件”、“第四部分 评标方法”《</w:t>
            </w:r>
            <w:r>
              <w:rPr>
                <w:rFonts w:hint="eastAsia" w:ascii="宋体" w:hAnsi="宋体"/>
                <w:color w:val="auto"/>
                <w:highlight w:val="none"/>
                <w:lang w:eastAsia="zh-CN"/>
              </w:rPr>
              <w:t>符合性审查表</w:t>
            </w:r>
            <w:r>
              <w:rPr>
                <w:rFonts w:hint="eastAsia" w:ascii="宋体" w:hAnsi="宋体"/>
                <w:color w:val="auto"/>
                <w:highlight w:val="none"/>
              </w:rPr>
              <w:t>》、《详细</w:t>
            </w:r>
            <w:r>
              <w:rPr>
                <w:rFonts w:hint="eastAsia" w:ascii="宋体" w:hAnsi="宋体"/>
                <w:color w:val="auto"/>
                <w:highlight w:val="none"/>
                <w:lang w:eastAsia="zh-CN"/>
              </w:rPr>
              <w:t>评标</w:t>
            </w:r>
            <w:r>
              <w:rPr>
                <w:rFonts w:hint="eastAsia" w:ascii="宋体" w:hAnsi="宋体"/>
                <w:color w:val="auto"/>
                <w:highlight w:val="none"/>
              </w:rPr>
              <w:t>表》要求提供。</w:t>
            </w:r>
          </w:p>
        </w:tc>
      </w:tr>
      <w:tr w14:paraId="40C54F0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4978021">
            <w:pPr>
              <w:tabs>
                <w:tab w:val="left" w:pos="315"/>
                <w:tab w:val="left" w:pos="1785"/>
                <w:tab w:val="left" w:pos="2310"/>
                <w:tab w:val="left" w:pos="8640"/>
              </w:tabs>
              <w:spacing w:line="360" w:lineRule="auto"/>
              <w:ind w:right="-48"/>
              <w:jc w:val="center"/>
              <w:rPr>
                <w:rFonts w:hint="default" w:eastAsia="宋体"/>
                <w:b/>
                <w:color w:val="auto"/>
                <w:highlight w:val="none"/>
                <w:lang w:val="en-US" w:eastAsia="zh-CN"/>
              </w:rPr>
            </w:pPr>
            <w:r>
              <w:rPr>
                <w:rFonts w:hint="eastAsia"/>
                <w:b/>
                <w:color w:val="auto"/>
                <w:highlight w:val="none"/>
                <w:lang w:val="en-US" w:eastAsia="zh-CN"/>
              </w:rPr>
              <w:t>3.4</w:t>
            </w:r>
          </w:p>
        </w:tc>
        <w:tc>
          <w:tcPr>
            <w:tcW w:w="8374" w:type="dxa"/>
            <w:vAlign w:val="center"/>
          </w:tcPr>
          <w:p w14:paraId="0178A43D">
            <w:pPr>
              <w:snapToGrid w:val="0"/>
              <w:spacing w:line="300" w:lineRule="auto"/>
              <w:rPr>
                <w:rFonts w:hint="eastAsia" w:ascii="宋体" w:hAnsi="宋体"/>
                <w:color w:val="auto"/>
                <w:highlight w:val="none"/>
              </w:rPr>
            </w:pPr>
            <w:r>
              <w:rPr>
                <w:rFonts w:hint="eastAsia" w:ascii="宋体" w:hAnsi="宋体"/>
                <w:color w:val="auto"/>
                <w:highlight w:val="none"/>
              </w:rPr>
              <w:t>投标人应提供</w:t>
            </w:r>
            <w:r>
              <w:rPr>
                <w:rFonts w:ascii="宋体" w:hAnsi="宋体"/>
                <w:color w:val="auto"/>
                <w:highlight w:val="none"/>
              </w:rPr>
              <w:t>202</w:t>
            </w:r>
            <w:r>
              <w:rPr>
                <w:rFonts w:hint="eastAsia" w:ascii="宋体" w:hAnsi="宋体"/>
                <w:color w:val="auto"/>
                <w:highlight w:val="none"/>
              </w:rPr>
              <w:t>2年7月</w:t>
            </w:r>
            <w:r>
              <w:rPr>
                <w:rFonts w:ascii="宋体" w:hAnsi="宋体"/>
                <w:color w:val="auto"/>
                <w:highlight w:val="none"/>
              </w:rPr>
              <w:t>1</w:t>
            </w:r>
            <w:r>
              <w:rPr>
                <w:rFonts w:hint="eastAsia" w:ascii="宋体" w:hAnsi="宋体"/>
                <w:color w:val="auto"/>
                <w:highlight w:val="none"/>
              </w:rPr>
              <w:t>日至今无重大违法记录的申明；</w:t>
            </w:r>
          </w:p>
        </w:tc>
      </w:tr>
      <w:tr w14:paraId="30F8B09F">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20170CA7">
            <w:pPr>
              <w:tabs>
                <w:tab w:val="left" w:pos="315"/>
                <w:tab w:val="left" w:pos="1785"/>
                <w:tab w:val="left" w:pos="2310"/>
                <w:tab w:val="left" w:pos="8640"/>
              </w:tabs>
              <w:spacing w:line="360" w:lineRule="auto"/>
              <w:ind w:right="-48"/>
              <w:jc w:val="center"/>
              <w:rPr>
                <w:rFonts w:hint="default" w:eastAsia="宋体"/>
                <w:b/>
                <w:color w:val="auto"/>
                <w:highlight w:val="none"/>
                <w:lang w:val="en-US" w:eastAsia="zh-CN"/>
              </w:rPr>
            </w:pPr>
            <w:r>
              <w:rPr>
                <w:rFonts w:hint="eastAsia"/>
                <w:b/>
                <w:color w:val="auto"/>
                <w:highlight w:val="none"/>
                <w:lang w:val="en-US" w:eastAsia="zh-CN"/>
              </w:rPr>
              <w:t>3.5</w:t>
            </w:r>
          </w:p>
        </w:tc>
        <w:tc>
          <w:tcPr>
            <w:tcW w:w="8374" w:type="dxa"/>
            <w:vAlign w:val="center"/>
          </w:tcPr>
          <w:p w14:paraId="065529F4">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投标人必须按招标文件规定的金额和期限提交投标保证金，投标保证金作为投标文件的组成部分,与投标文件一同递交。</w:t>
            </w:r>
          </w:p>
          <w:p w14:paraId="31B86A6A">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（一）本项目的投标保证金为人民币5万元（大写：伍万元整）；</w:t>
            </w:r>
          </w:p>
          <w:p w14:paraId="41298317">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（二）投标保证金可以以银行转账或者金融机构、担保机构出具的保函形式提交：</w:t>
            </w:r>
          </w:p>
          <w:p w14:paraId="467F9C33">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1.采用银行转账提交保证金的，应当转账至以下被授权账户：</w:t>
            </w:r>
          </w:p>
          <w:p w14:paraId="76744EDD">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收款人：广州广重企业集团有限公司</w:t>
            </w:r>
          </w:p>
          <w:p w14:paraId="6CA49143">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开户行：中国工商银行同福中路支行</w:t>
            </w:r>
          </w:p>
          <w:p w14:paraId="2DC87FE7">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账号：3602 0011 0900 5828 843</w:t>
            </w:r>
          </w:p>
          <w:p w14:paraId="2872F52A">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2.采用金融机构、担保机构出具的保函提交保证金的，应当符合下列规定:保函中须标明本招标项目的项目名称、招标编号和受益人，投标人所提交的保函金额应当与本项目的投标保证金金额相同，保函有效期应不少于本招标文件规定的投标有效期；</w:t>
            </w:r>
          </w:p>
          <w:p w14:paraId="1572A076">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3.投标保证金提交截止时间与本项目投标截止时间相同；</w:t>
            </w:r>
          </w:p>
          <w:p w14:paraId="3EC20B97">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（三）未按规定提交投标保证金的投标，将被视为非响应性投标而予以拒绝；</w:t>
            </w:r>
          </w:p>
          <w:p w14:paraId="33B988C9">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（四）投标保证金的退还按如下说明执行：</w:t>
            </w:r>
          </w:p>
          <w:p w14:paraId="6BC443F4">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1.采用转账形式的未中标人的投标保证金，将在合同签订后20个工作日内无息退还至原投标账户；</w:t>
            </w:r>
          </w:p>
          <w:p w14:paraId="1BC1D2DF">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2.投标人提供的退还保证金帐户必须与实际投标人名称一致，否则不予退还；</w:t>
            </w:r>
          </w:p>
          <w:p w14:paraId="7C4F1949">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3.以下任何一种情况发生时，投标保证金将被没收：</w:t>
            </w:r>
          </w:p>
          <w:p w14:paraId="53FC2E14">
            <w:pPr>
              <w:snapToGrid w:val="0"/>
              <w:spacing w:line="300" w:lineRule="auto"/>
              <w:rPr>
                <w:rFonts w:hint="eastAsia" w:ascii="宋体" w:hAnsi="宋体"/>
                <w:color w:val="auto"/>
                <w:highlight w:val="none"/>
                <w:lang w:val="en-US" w:eastAsia="zh-CN"/>
              </w:rPr>
            </w:pPr>
            <w:r>
              <w:rPr>
                <w:rFonts w:hint="eastAsia" w:ascii="宋体" w:hAnsi="宋体"/>
                <w:color w:val="auto"/>
                <w:highlight w:val="none"/>
                <w:lang w:val="en-US" w:eastAsia="zh-CN"/>
              </w:rPr>
              <w:t>（1）投标人在投标有效期内撤回其投标；</w:t>
            </w:r>
          </w:p>
          <w:p w14:paraId="6F486075">
            <w:pPr>
              <w:snapToGrid w:val="0"/>
              <w:spacing w:line="300" w:lineRule="auto"/>
              <w:rPr>
                <w:rFonts w:hint="eastAsia" w:ascii="宋体" w:hAnsi="宋体"/>
                <w:color w:val="auto"/>
                <w:highlight w:val="none"/>
              </w:rPr>
            </w:pPr>
            <w:r>
              <w:rPr>
                <w:rFonts w:hint="eastAsia" w:ascii="宋体" w:hAnsi="宋体"/>
                <w:color w:val="auto"/>
                <w:highlight w:val="none"/>
                <w:lang w:val="en-US" w:eastAsia="zh-CN"/>
              </w:rPr>
              <w:t>（2）中标人未能在规定的期限内签订合同或不按合同规定履行合同。</w:t>
            </w:r>
          </w:p>
        </w:tc>
      </w:tr>
      <w:tr w14:paraId="7C7CC97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tcBorders>
              <w:top w:val="single" w:color="auto" w:sz="4" w:space="0"/>
            </w:tcBorders>
            <w:vAlign w:val="center"/>
          </w:tcPr>
          <w:p w14:paraId="000DB4AE">
            <w:pPr>
              <w:tabs>
                <w:tab w:val="left" w:pos="315"/>
                <w:tab w:val="left" w:pos="1785"/>
                <w:tab w:val="left" w:pos="2310"/>
                <w:tab w:val="left" w:pos="8640"/>
              </w:tabs>
              <w:spacing w:line="360" w:lineRule="auto"/>
              <w:jc w:val="center"/>
              <w:rPr>
                <w:b/>
                <w:color w:val="auto"/>
                <w:highlight w:val="none"/>
              </w:rPr>
            </w:pPr>
          </w:p>
        </w:tc>
        <w:tc>
          <w:tcPr>
            <w:tcW w:w="8374" w:type="dxa"/>
            <w:vAlign w:val="center"/>
          </w:tcPr>
          <w:p w14:paraId="4DA2EC0E">
            <w:pPr>
              <w:jc w:val="center"/>
              <w:rPr>
                <w:rFonts w:hint="eastAsia" w:ascii="宋体" w:hAnsi="宋体"/>
                <w:b/>
                <w:color w:val="auto"/>
                <w:highlight w:val="none"/>
              </w:rPr>
            </w:pPr>
            <w:r>
              <w:rPr>
                <w:rFonts w:hint="eastAsia"/>
                <w:b/>
                <w:color w:val="auto"/>
                <w:highlight w:val="none"/>
              </w:rPr>
              <w:t>四、 投标文件的递交</w:t>
            </w:r>
          </w:p>
        </w:tc>
      </w:tr>
      <w:tr w14:paraId="6F4A1EFC">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D45633F">
            <w:pPr>
              <w:tabs>
                <w:tab w:val="left" w:pos="315"/>
                <w:tab w:val="left" w:pos="1785"/>
                <w:tab w:val="left" w:pos="2310"/>
                <w:tab w:val="left" w:pos="8640"/>
              </w:tabs>
              <w:spacing w:line="360" w:lineRule="auto"/>
              <w:jc w:val="center"/>
              <w:rPr>
                <w:b/>
                <w:color w:val="auto"/>
                <w:highlight w:val="none"/>
              </w:rPr>
            </w:pPr>
            <w:r>
              <w:rPr>
                <w:rFonts w:hint="eastAsia"/>
                <w:b/>
                <w:color w:val="auto"/>
                <w:highlight w:val="none"/>
                <w:lang w:val="en-US" w:eastAsia="zh-CN"/>
              </w:rPr>
              <w:t>4</w:t>
            </w:r>
            <w:r>
              <w:rPr>
                <w:b/>
                <w:color w:val="auto"/>
                <w:highlight w:val="none"/>
              </w:rPr>
              <w:t>.</w:t>
            </w:r>
            <w:r>
              <w:rPr>
                <w:rFonts w:hint="eastAsia"/>
                <w:b/>
                <w:color w:val="auto"/>
                <w:highlight w:val="none"/>
              </w:rPr>
              <w:t>1</w:t>
            </w:r>
          </w:p>
        </w:tc>
        <w:tc>
          <w:tcPr>
            <w:tcW w:w="8374" w:type="dxa"/>
            <w:vAlign w:val="center"/>
          </w:tcPr>
          <w:p w14:paraId="7FACDA70">
            <w:pPr>
              <w:snapToGrid w:val="0"/>
              <w:spacing w:line="300" w:lineRule="auto"/>
              <w:rPr>
                <w:rFonts w:hint="eastAsia" w:ascii="宋体" w:hAnsi="宋体"/>
                <w:color w:val="auto"/>
                <w:highlight w:val="none"/>
              </w:rPr>
            </w:pPr>
            <w:r>
              <w:rPr>
                <w:rFonts w:hint="eastAsia" w:ascii="宋体" w:hAnsi="宋体"/>
                <w:color w:val="auto"/>
                <w:highlight w:val="none"/>
              </w:rPr>
              <w:t>投标截止时间和投标文件送达地点详见“第一部分 招标公告”相关内容</w:t>
            </w:r>
          </w:p>
        </w:tc>
      </w:tr>
      <w:tr w14:paraId="6A19102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64" w:hRule="atLeast"/>
          <w:jc w:val="center"/>
        </w:trPr>
        <w:tc>
          <w:tcPr>
            <w:tcW w:w="1077" w:type="dxa"/>
            <w:vAlign w:val="center"/>
          </w:tcPr>
          <w:p w14:paraId="4216C442">
            <w:pPr>
              <w:tabs>
                <w:tab w:val="left" w:pos="315"/>
                <w:tab w:val="left" w:pos="1785"/>
                <w:tab w:val="left" w:pos="2310"/>
                <w:tab w:val="left" w:pos="8640"/>
              </w:tabs>
              <w:spacing w:line="360" w:lineRule="auto"/>
              <w:ind w:right="-48"/>
              <w:jc w:val="center"/>
              <w:rPr>
                <w:b/>
                <w:color w:val="auto"/>
                <w:highlight w:val="none"/>
              </w:rPr>
            </w:pPr>
            <w:r>
              <w:rPr>
                <w:rFonts w:hint="eastAsia"/>
                <w:b/>
                <w:color w:val="auto"/>
                <w:highlight w:val="none"/>
                <w:lang w:val="en-US" w:eastAsia="zh-CN"/>
              </w:rPr>
              <w:t>4</w:t>
            </w:r>
            <w:r>
              <w:rPr>
                <w:rFonts w:hint="eastAsia"/>
                <w:b/>
                <w:color w:val="auto"/>
                <w:highlight w:val="none"/>
              </w:rPr>
              <w:t>.2</w:t>
            </w:r>
          </w:p>
        </w:tc>
        <w:tc>
          <w:tcPr>
            <w:tcW w:w="8374" w:type="dxa"/>
            <w:tcBorders>
              <w:bottom w:val="single" w:color="auto" w:sz="4" w:space="0"/>
            </w:tcBorders>
            <w:vAlign w:val="center"/>
          </w:tcPr>
          <w:p w14:paraId="1719737B">
            <w:pPr>
              <w:snapToGrid w:val="0"/>
              <w:spacing w:line="300" w:lineRule="auto"/>
              <w:rPr>
                <w:rFonts w:hint="eastAsia" w:ascii="宋体" w:hAnsi="宋体"/>
                <w:color w:val="auto"/>
                <w:highlight w:val="none"/>
              </w:rPr>
            </w:pPr>
            <w:r>
              <w:rPr>
                <w:rFonts w:hint="eastAsia" w:ascii="宋体" w:hAnsi="宋体"/>
                <w:color w:val="auto"/>
                <w:highlight w:val="none"/>
              </w:rPr>
              <w:t>投标文件应在投标截止日后</w:t>
            </w:r>
            <w:r>
              <w:rPr>
                <w:rFonts w:ascii="宋体" w:hAnsi="宋体"/>
                <w:color w:val="auto"/>
                <w:highlight w:val="none"/>
                <w:u w:val="single"/>
              </w:rPr>
              <w:t>90</w:t>
            </w:r>
            <w:r>
              <w:rPr>
                <w:rFonts w:hint="eastAsia" w:ascii="宋体" w:hAnsi="宋体"/>
                <w:color w:val="auto"/>
                <w:highlight w:val="none"/>
              </w:rPr>
              <w:t>天内有效。</w:t>
            </w:r>
          </w:p>
        </w:tc>
      </w:tr>
      <w:tr w14:paraId="5125DB4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DBE8E98">
            <w:pPr>
              <w:tabs>
                <w:tab w:val="left" w:pos="315"/>
                <w:tab w:val="left" w:pos="1785"/>
                <w:tab w:val="left" w:pos="2310"/>
                <w:tab w:val="left" w:pos="8640"/>
              </w:tabs>
              <w:spacing w:line="360" w:lineRule="auto"/>
              <w:jc w:val="center"/>
              <w:rPr>
                <w:b/>
                <w:color w:val="auto"/>
                <w:highlight w:val="none"/>
              </w:rPr>
            </w:pPr>
          </w:p>
        </w:tc>
        <w:tc>
          <w:tcPr>
            <w:tcW w:w="8374" w:type="dxa"/>
            <w:vAlign w:val="center"/>
          </w:tcPr>
          <w:p w14:paraId="106AE79C">
            <w:pPr>
              <w:jc w:val="center"/>
              <w:rPr>
                <w:rFonts w:hint="eastAsia" w:ascii="宋体" w:hAnsi="宋体"/>
                <w:b/>
                <w:color w:val="auto"/>
                <w:highlight w:val="none"/>
              </w:rPr>
            </w:pPr>
            <w:r>
              <w:rPr>
                <w:rFonts w:hint="eastAsia"/>
                <w:b/>
                <w:color w:val="auto"/>
                <w:highlight w:val="none"/>
              </w:rPr>
              <w:t>五、开标、评标和定标</w:t>
            </w:r>
          </w:p>
        </w:tc>
      </w:tr>
      <w:tr w14:paraId="68D2DCFC">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18739522">
            <w:pPr>
              <w:tabs>
                <w:tab w:val="left" w:pos="315"/>
                <w:tab w:val="left" w:pos="1785"/>
                <w:tab w:val="left" w:pos="2310"/>
                <w:tab w:val="left" w:pos="8640"/>
              </w:tabs>
              <w:spacing w:line="360" w:lineRule="auto"/>
              <w:jc w:val="center"/>
              <w:rPr>
                <w:rFonts w:hint="default" w:eastAsia="宋体"/>
                <w:b/>
                <w:color w:val="auto"/>
                <w:highlight w:val="none"/>
                <w:lang w:val="en-US" w:eastAsia="zh-CN"/>
              </w:rPr>
            </w:pPr>
            <w:r>
              <w:rPr>
                <w:rFonts w:hint="eastAsia"/>
                <w:b/>
                <w:color w:val="auto"/>
                <w:highlight w:val="none"/>
                <w:lang w:val="en-US" w:eastAsia="zh-CN"/>
              </w:rPr>
              <w:t>5.1</w:t>
            </w:r>
          </w:p>
        </w:tc>
        <w:tc>
          <w:tcPr>
            <w:tcW w:w="8374" w:type="dxa"/>
            <w:vAlign w:val="center"/>
          </w:tcPr>
          <w:p w14:paraId="495EB2E7">
            <w:pPr>
              <w:snapToGrid w:val="0"/>
              <w:spacing w:line="300" w:lineRule="auto"/>
              <w:rPr>
                <w:rFonts w:hint="eastAsia" w:ascii="宋体" w:hAnsi="宋体"/>
                <w:color w:val="auto"/>
                <w:highlight w:val="none"/>
              </w:rPr>
            </w:pPr>
            <w:r>
              <w:rPr>
                <w:rFonts w:hint="eastAsia" w:ascii="宋体" w:hAnsi="宋体"/>
                <w:color w:val="auto"/>
                <w:highlight w:val="none"/>
              </w:rPr>
              <w:t>投标截止时间详见“第一部分 招标公告”相关内容</w:t>
            </w:r>
          </w:p>
        </w:tc>
      </w:tr>
      <w:tr w14:paraId="40EDF01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22C7BE91">
            <w:pPr>
              <w:tabs>
                <w:tab w:val="left" w:pos="315"/>
                <w:tab w:val="left" w:pos="1785"/>
                <w:tab w:val="left" w:pos="2310"/>
                <w:tab w:val="left" w:pos="8640"/>
              </w:tabs>
              <w:spacing w:line="360" w:lineRule="auto"/>
              <w:jc w:val="center"/>
              <w:rPr>
                <w:rFonts w:hint="default" w:eastAsia="宋体"/>
                <w:b/>
                <w:color w:val="auto"/>
                <w:highlight w:val="none"/>
                <w:lang w:val="en-US" w:eastAsia="zh-CN"/>
              </w:rPr>
            </w:pPr>
            <w:r>
              <w:rPr>
                <w:rFonts w:hint="eastAsia"/>
                <w:b/>
                <w:color w:val="auto"/>
                <w:highlight w:val="none"/>
                <w:lang w:val="en-US" w:eastAsia="zh-CN"/>
              </w:rPr>
              <w:t>5.2</w:t>
            </w:r>
          </w:p>
        </w:tc>
        <w:tc>
          <w:tcPr>
            <w:tcW w:w="8374" w:type="dxa"/>
            <w:vAlign w:val="center"/>
          </w:tcPr>
          <w:p w14:paraId="43064CA0">
            <w:pPr>
              <w:snapToGrid w:val="0"/>
              <w:spacing w:line="300" w:lineRule="auto"/>
              <w:rPr>
                <w:rFonts w:hint="eastAsia" w:ascii="宋体" w:hAnsi="宋体"/>
                <w:color w:val="auto"/>
                <w:highlight w:val="none"/>
              </w:rPr>
            </w:pPr>
            <w:r>
              <w:rPr>
                <w:rFonts w:hint="eastAsia" w:ascii="宋体" w:hAnsi="宋体"/>
                <w:color w:val="auto"/>
                <w:highlight w:val="none"/>
              </w:rPr>
              <w:t>采用</w:t>
            </w:r>
            <w:r>
              <w:rPr>
                <w:rFonts w:hint="eastAsia" w:ascii="宋体" w:hAnsi="宋体"/>
                <w:color w:val="auto"/>
                <w:highlight w:val="none"/>
                <w:u w:val="single"/>
              </w:rPr>
              <w:t xml:space="preserve"> 综合评分法 </w:t>
            </w:r>
            <w:r>
              <w:rPr>
                <w:rFonts w:hint="eastAsia" w:ascii="宋体" w:hAnsi="宋体"/>
                <w:color w:val="auto"/>
                <w:highlight w:val="none"/>
              </w:rPr>
              <w:t>，详见“第四部分 评标方法”</w:t>
            </w:r>
          </w:p>
        </w:tc>
      </w:tr>
      <w:tr w14:paraId="5E7E5BA3">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6F1B6F4A">
            <w:pPr>
              <w:tabs>
                <w:tab w:val="left" w:pos="315"/>
                <w:tab w:val="left" w:pos="1785"/>
                <w:tab w:val="left" w:pos="2310"/>
                <w:tab w:val="left" w:pos="8640"/>
              </w:tabs>
              <w:spacing w:line="360" w:lineRule="auto"/>
              <w:jc w:val="center"/>
              <w:rPr>
                <w:b/>
                <w:color w:val="auto"/>
                <w:highlight w:val="none"/>
              </w:rPr>
            </w:pPr>
            <w:r>
              <w:rPr>
                <w:rFonts w:hint="eastAsia"/>
                <w:b/>
                <w:color w:val="auto"/>
                <w:highlight w:val="none"/>
                <w:lang w:val="en-US" w:eastAsia="zh-CN"/>
              </w:rPr>
              <w:t>5</w:t>
            </w:r>
            <w:r>
              <w:rPr>
                <w:rFonts w:hint="eastAsia"/>
                <w:b/>
                <w:color w:val="auto"/>
                <w:highlight w:val="none"/>
              </w:rPr>
              <w:t>.</w:t>
            </w:r>
            <w:r>
              <w:rPr>
                <w:b/>
                <w:color w:val="auto"/>
                <w:highlight w:val="none"/>
              </w:rPr>
              <w:t>3</w:t>
            </w:r>
          </w:p>
        </w:tc>
        <w:tc>
          <w:tcPr>
            <w:tcW w:w="8374" w:type="dxa"/>
            <w:vAlign w:val="center"/>
          </w:tcPr>
          <w:p w14:paraId="70859156">
            <w:pPr>
              <w:snapToGrid w:val="0"/>
              <w:spacing w:line="300" w:lineRule="auto"/>
              <w:rPr>
                <w:rFonts w:hint="eastAsia" w:ascii="宋体" w:hAnsi="宋体"/>
                <w:color w:val="auto"/>
                <w:highlight w:val="none"/>
              </w:rPr>
            </w:pPr>
            <w:r>
              <w:rPr>
                <w:rFonts w:hint="eastAsia" w:ascii="宋体" w:hAnsi="宋体"/>
                <w:color w:val="auto"/>
                <w:highlight w:val="none"/>
              </w:rPr>
              <w:t>中标候选人公示及招标结果公告媒体：</w:t>
            </w:r>
          </w:p>
          <w:p w14:paraId="0941DD88">
            <w:pPr>
              <w:snapToGrid w:val="0"/>
              <w:spacing w:line="300" w:lineRule="auto"/>
              <w:ind w:firstLine="14"/>
              <w:rPr>
                <w:rFonts w:hint="eastAsia" w:ascii="宋体" w:hAnsi="宋体"/>
                <w:color w:val="auto"/>
                <w:highlight w:val="none"/>
              </w:rPr>
            </w:pPr>
            <w:r>
              <w:rPr>
                <w:rFonts w:hint="eastAsia" w:ascii="宋体" w:hAnsi="宋体"/>
                <w:color w:val="auto"/>
                <w:highlight w:val="none"/>
              </w:rPr>
              <w:t>广州工控集团官方网站采购平台（https://ips.giihg.com）或广重集团官方网站（https://www.gzhm.com）</w:t>
            </w:r>
          </w:p>
        </w:tc>
      </w:tr>
      <w:tr w14:paraId="0FBFA692">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4E12726E">
            <w:pPr>
              <w:tabs>
                <w:tab w:val="left" w:pos="315"/>
                <w:tab w:val="left" w:pos="1785"/>
                <w:tab w:val="left" w:pos="2310"/>
                <w:tab w:val="left" w:pos="8640"/>
              </w:tabs>
              <w:spacing w:line="360" w:lineRule="auto"/>
              <w:jc w:val="center"/>
              <w:rPr>
                <w:b/>
                <w:color w:val="auto"/>
                <w:highlight w:val="none"/>
              </w:rPr>
            </w:pPr>
          </w:p>
        </w:tc>
        <w:tc>
          <w:tcPr>
            <w:tcW w:w="8374" w:type="dxa"/>
            <w:vAlign w:val="center"/>
          </w:tcPr>
          <w:p w14:paraId="7378C767">
            <w:pPr>
              <w:jc w:val="center"/>
              <w:rPr>
                <w:rFonts w:hint="eastAsia" w:ascii="宋体" w:hAnsi="宋体"/>
                <w:color w:val="auto"/>
                <w:highlight w:val="none"/>
              </w:rPr>
            </w:pPr>
            <w:r>
              <w:rPr>
                <w:rFonts w:hint="eastAsia"/>
                <w:b/>
                <w:color w:val="auto"/>
                <w:highlight w:val="none"/>
                <w:lang w:eastAsia="zh-CN"/>
              </w:rPr>
              <w:t>六</w:t>
            </w:r>
            <w:r>
              <w:rPr>
                <w:rFonts w:hint="eastAsia"/>
                <w:b/>
                <w:color w:val="auto"/>
                <w:highlight w:val="none"/>
              </w:rPr>
              <w:t>、合同的订立和履行</w:t>
            </w:r>
          </w:p>
        </w:tc>
      </w:tr>
      <w:tr w14:paraId="5D892E1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09429B44">
            <w:pPr>
              <w:tabs>
                <w:tab w:val="left" w:pos="315"/>
                <w:tab w:val="left" w:pos="1785"/>
                <w:tab w:val="left" w:pos="2310"/>
                <w:tab w:val="left" w:pos="8640"/>
              </w:tabs>
              <w:spacing w:line="360" w:lineRule="auto"/>
              <w:jc w:val="center"/>
              <w:rPr>
                <w:rFonts w:hint="default" w:eastAsia="宋体"/>
                <w:b/>
                <w:color w:val="auto"/>
                <w:highlight w:val="none"/>
                <w:lang w:val="en-US" w:eastAsia="zh-CN"/>
              </w:rPr>
            </w:pPr>
            <w:r>
              <w:rPr>
                <w:rFonts w:hint="eastAsia"/>
                <w:b/>
                <w:color w:val="auto"/>
                <w:highlight w:val="none"/>
                <w:lang w:val="en-US" w:eastAsia="zh-CN"/>
              </w:rPr>
              <w:t>6.1</w:t>
            </w:r>
          </w:p>
        </w:tc>
        <w:tc>
          <w:tcPr>
            <w:tcW w:w="8374" w:type="dxa"/>
            <w:vAlign w:val="center"/>
          </w:tcPr>
          <w:p w14:paraId="6478578E">
            <w:pPr>
              <w:snapToGrid w:val="0"/>
              <w:spacing w:line="300" w:lineRule="auto"/>
              <w:rPr>
                <w:rFonts w:hint="eastAsia" w:ascii="宋体" w:hAnsi="宋体"/>
                <w:color w:val="auto"/>
                <w:highlight w:val="none"/>
              </w:rPr>
            </w:pPr>
            <w:r>
              <w:rPr>
                <w:rFonts w:hint="eastAsia" w:ascii="宋体" w:hAnsi="宋体"/>
                <w:color w:val="auto"/>
                <w:highlight w:val="none"/>
              </w:rPr>
              <w:t>具体详见合同条款。</w:t>
            </w:r>
          </w:p>
        </w:tc>
      </w:tr>
      <w:tr w14:paraId="1CD2D743">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1C0B6DB9">
            <w:pPr>
              <w:tabs>
                <w:tab w:val="left" w:pos="315"/>
                <w:tab w:val="left" w:pos="1785"/>
                <w:tab w:val="left" w:pos="2310"/>
                <w:tab w:val="left" w:pos="8640"/>
              </w:tabs>
              <w:spacing w:line="360" w:lineRule="auto"/>
              <w:jc w:val="center"/>
              <w:rPr>
                <w:b/>
                <w:color w:val="auto"/>
                <w:highlight w:val="none"/>
              </w:rPr>
            </w:pPr>
          </w:p>
        </w:tc>
        <w:tc>
          <w:tcPr>
            <w:tcW w:w="8374" w:type="dxa"/>
            <w:vAlign w:val="center"/>
          </w:tcPr>
          <w:p w14:paraId="61C9E8A4">
            <w:pPr>
              <w:jc w:val="center"/>
              <w:rPr>
                <w:rFonts w:hint="eastAsia" w:ascii="宋体" w:hAnsi="宋体"/>
                <w:b/>
                <w:color w:val="auto"/>
                <w:highlight w:val="none"/>
              </w:rPr>
            </w:pPr>
            <w:r>
              <w:rPr>
                <w:rFonts w:hint="eastAsia"/>
                <w:b/>
                <w:color w:val="auto"/>
                <w:highlight w:val="none"/>
                <w:lang w:eastAsia="zh-CN"/>
              </w:rPr>
              <w:t>七</w:t>
            </w:r>
            <w:r>
              <w:rPr>
                <w:rFonts w:hint="eastAsia"/>
                <w:b/>
                <w:color w:val="auto"/>
                <w:highlight w:val="none"/>
              </w:rPr>
              <w:t>、投标文件要求</w:t>
            </w:r>
          </w:p>
        </w:tc>
      </w:tr>
      <w:tr w14:paraId="41E831B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077" w:type="dxa"/>
            <w:vAlign w:val="center"/>
          </w:tcPr>
          <w:p w14:paraId="2432B6E9">
            <w:pPr>
              <w:tabs>
                <w:tab w:val="left" w:pos="315"/>
                <w:tab w:val="left" w:pos="1785"/>
                <w:tab w:val="left" w:pos="2310"/>
                <w:tab w:val="left" w:pos="8640"/>
              </w:tabs>
              <w:spacing w:line="360" w:lineRule="auto"/>
              <w:jc w:val="center"/>
              <w:rPr>
                <w:rFonts w:hint="default" w:eastAsia="宋体"/>
                <w:b/>
                <w:color w:val="auto"/>
                <w:highlight w:val="none"/>
                <w:lang w:val="en-US" w:eastAsia="zh-CN"/>
              </w:rPr>
            </w:pPr>
            <w:r>
              <w:rPr>
                <w:rFonts w:hint="eastAsia"/>
                <w:b/>
                <w:color w:val="auto"/>
                <w:highlight w:val="none"/>
                <w:lang w:val="en-US" w:eastAsia="zh-CN"/>
              </w:rPr>
              <w:t>7.1</w:t>
            </w:r>
          </w:p>
        </w:tc>
        <w:tc>
          <w:tcPr>
            <w:tcW w:w="8374" w:type="dxa"/>
            <w:vAlign w:val="center"/>
          </w:tcPr>
          <w:p w14:paraId="3FF22280">
            <w:pPr>
              <w:snapToGrid w:val="0"/>
              <w:spacing w:line="300" w:lineRule="auto"/>
              <w:rPr>
                <w:rFonts w:hint="eastAsia" w:ascii="宋体" w:hAnsi="宋体"/>
                <w:color w:val="auto"/>
                <w:highlight w:val="none"/>
              </w:rPr>
            </w:pPr>
            <w:r>
              <w:rPr>
                <w:rFonts w:hint="eastAsia" w:ascii="宋体" w:hAnsi="宋体"/>
                <w:color w:val="auto"/>
                <w:highlight w:val="none"/>
              </w:rPr>
              <w:t>投标文件要求：</w:t>
            </w:r>
          </w:p>
          <w:p w14:paraId="368670C2">
            <w:pPr>
              <w:snapToGrid w:val="0"/>
              <w:spacing w:line="300" w:lineRule="auto"/>
              <w:rPr>
                <w:rFonts w:hint="eastAsia" w:ascii="宋体" w:hAnsi="宋体"/>
                <w:color w:val="auto"/>
                <w:highlight w:val="none"/>
              </w:rPr>
            </w:pPr>
            <w:r>
              <w:rPr>
                <w:rFonts w:hint="eastAsia" w:ascii="宋体" w:hAnsi="宋体"/>
                <w:color w:val="auto"/>
                <w:highlight w:val="none"/>
              </w:rPr>
              <w:t>1、投标文件应用不褪色的材料书写或打印并加盖投标人公章。投标人存在相关授权委托人的，投标文件应附由法定代表人签署的授权委托书；</w:t>
            </w:r>
          </w:p>
          <w:p w14:paraId="3741B15F">
            <w:pPr>
              <w:snapToGrid w:val="0"/>
              <w:spacing w:line="300" w:lineRule="auto"/>
              <w:rPr>
                <w:rFonts w:hint="eastAsia" w:ascii="宋体" w:hAnsi="宋体"/>
                <w:color w:val="auto"/>
                <w:highlight w:val="none"/>
              </w:rPr>
            </w:pPr>
            <w:r>
              <w:rPr>
                <w:rFonts w:hint="eastAsia" w:ascii="宋体" w:hAnsi="宋体"/>
                <w:color w:val="auto"/>
                <w:highlight w:val="none"/>
              </w:rPr>
              <w:t>2、投标文件一正一副，投标文件的正本和副本的封面上应清楚地标记“正本”或“副本”的字样。当副本和正本不一致时，以正本为准。投标文件的正本与副本应分别装订成册，各册独立装订的投标文件均采用不易松散的书式装订；</w:t>
            </w:r>
          </w:p>
          <w:p w14:paraId="2D2369E0">
            <w:pPr>
              <w:snapToGrid w:val="0"/>
              <w:spacing w:line="300" w:lineRule="auto"/>
              <w:rPr>
                <w:rFonts w:hint="eastAsia" w:ascii="宋体" w:hAnsi="宋体"/>
                <w:color w:val="auto"/>
                <w:highlight w:val="none"/>
              </w:rPr>
            </w:pPr>
            <w:r>
              <w:rPr>
                <w:rFonts w:hint="eastAsia" w:ascii="宋体" w:hAnsi="宋体"/>
                <w:color w:val="auto"/>
                <w:highlight w:val="none"/>
              </w:rPr>
              <w:t>3、投标文件的规格：投标文件封面应列明项目名称、招标人名称，投标文件封面必须加盖投标人法定印章，并经法定代表人或授权委托人签字盖章。使用电子版投标文件的</w:t>
            </w:r>
            <w:r>
              <w:rPr>
                <w:rFonts w:hint="eastAsia" w:ascii="宋体" w:hAnsi="宋体"/>
                <w:color w:val="auto"/>
                <w:highlight w:val="none"/>
                <w:lang w:eastAsia="zh-CN"/>
              </w:rPr>
              <w:t>（</w:t>
            </w:r>
            <w:r>
              <w:rPr>
                <w:rFonts w:hint="eastAsia" w:ascii="宋体" w:hAnsi="宋体"/>
                <w:color w:val="auto"/>
                <w:highlight w:val="none"/>
                <w:lang w:val="en-US" w:eastAsia="zh-CN"/>
              </w:rPr>
              <w:t>投标人自行决定</w:t>
            </w:r>
            <w:r>
              <w:rPr>
                <w:rFonts w:hint="eastAsia" w:ascii="宋体" w:hAnsi="宋体"/>
                <w:color w:val="auto"/>
                <w:highlight w:val="none"/>
                <w:lang w:eastAsia="zh-CN"/>
              </w:rPr>
              <w:t>）</w:t>
            </w:r>
            <w:r>
              <w:rPr>
                <w:rFonts w:hint="eastAsia" w:ascii="宋体" w:hAnsi="宋体"/>
                <w:color w:val="auto"/>
                <w:highlight w:val="none"/>
              </w:rPr>
              <w:t>，应以U 盘（或光盘）的形式密封在不透明的信封中加盖投标人法定印章；</w:t>
            </w:r>
          </w:p>
          <w:p w14:paraId="67263AE0">
            <w:pPr>
              <w:snapToGrid w:val="0"/>
              <w:spacing w:line="300" w:lineRule="auto"/>
              <w:rPr>
                <w:rFonts w:hint="eastAsia" w:ascii="宋体" w:hAnsi="宋体"/>
                <w:color w:val="auto"/>
                <w:highlight w:val="none"/>
              </w:rPr>
            </w:pPr>
            <w:r>
              <w:rPr>
                <w:rFonts w:hint="eastAsia" w:ascii="宋体" w:hAnsi="宋体"/>
                <w:color w:val="auto"/>
                <w:highlight w:val="none"/>
              </w:rPr>
              <w:t>4、投标文件的密封要求：投标人应确保投标文件密闭封装，外包装材料不应留有可在包封后添加或抽取投标文件的空隙。</w:t>
            </w:r>
          </w:p>
        </w:tc>
      </w:tr>
    </w:tbl>
    <w:p w14:paraId="1609C8E6">
      <w:pPr>
        <w:spacing w:before="120" w:line="360" w:lineRule="auto"/>
        <w:ind w:firstLine="540"/>
        <w:rPr>
          <w:rFonts w:ascii="宋体"/>
          <w:color w:val="auto"/>
          <w:highlight w:val="none"/>
        </w:rPr>
      </w:pPr>
    </w:p>
    <w:p w14:paraId="0B01F700">
      <w:pPr>
        <w:pStyle w:val="13"/>
        <w:rPr>
          <w:rFonts w:hint="eastAsia"/>
          <w:color w:val="auto"/>
          <w:highlight w:val="none"/>
        </w:rPr>
      </w:pPr>
      <w:r>
        <w:rPr>
          <w:color w:val="auto"/>
          <w:sz w:val="24"/>
          <w:szCs w:val="24"/>
          <w:highlight w:val="none"/>
        </w:rPr>
        <w:br w:type="page"/>
      </w:r>
      <w:r>
        <w:rPr>
          <w:rFonts w:hint="eastAsia"/>
          <w:color w:val="auto"/>
          <w:highlight w:val="none"/>
        </w:rPr>
        <w:t>一、说  明</w:t>
      </w:r>
    </w:p>
    <w:p w14:paraId="3595187B">
      <w:pPr>
        <w:pStyle w:val="13"/>
        <w:spacing w:before="0" w:beforeLines="0" w:after="0" w:afterLines="0"/>
        <w:rPr>
          <w:rFonts w:hint="eastAsia"/>
          <w:color w:val="auto"/>
          <w:highlight w:val="none"/>
        </w:rPr>
      </w:pPr>
      <w:r>
        <w:rPr>
          <w:rFonts w:hint="eastAsia"/>
          <w:color w:val="auto"/>
          <w:highlight w:val="none"/>
        </w:rPr>
        <w:t>1．适用范围及</w:t>
      </w:r>
      <w:r>
        <w:rPr>
          <w:color w:val="auto"/>
          <w:highlight w:val="none"/>
        </w:rPr>
        <w:t>项目综合说明</w:t>
      </w:r>
    </w:p>
    <w:p w14:paraId="0EE757A8">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1.1</w:t>
      </w:r>
      <w:r>
        <w:rPr>
          <w:rFonts w:ascii="宋体" w:hAnsi="宋体"/>
          <w:color w:val="auto"/>
          <w:szCs w:val="21"/>
          <w:highlight w:val="none"/>
        </w:rPr>
        <w:t xml:space="preserve"> </w:t>
      </w:r>
      <w:r>
        <w:rPr>
          <w:rFonts w:hint="eastAsia" w:ascii="宋体" w:hAnsi="宋体"/>
          <w:color w:val="auto"/>
          <w:szCs w:val="21"/>
          <w:highlight w:val="none"/>
        </w:rPr>
        <w:t>本招标文件适用于本</w:t>
      </w:r>
      <w:r>
        <w:rPr>
          <w:rFonts w:hint="eastAsia" w:ascii="宋体" w:hAnsi="宋体"/>
          <w:color w:val="auto"/>
          <w:szCs w:val="21"/>
          <w:highlight w:val="none"/>
          <w:lang w:val="en-US" w:eastAsia="zh-CN"/>
        </w:rPr>
        <w:t>次招标</w:t>
      </w:r>
      <w:r>
        <w:rPr>
          <w:rFonts w:hint="eastAsia" w:ascii="宋体" w:hAnsi="宋体"/>
          <w:color w:val="auto"/>
          <w:szCs w:val="21"/>
          <w:highlight w:val="none"/>
        </w:rPr>
        <w:t>所述项目的招标。</w:t>
      </w:r>
      <w:r>
        <w:rPr>
          <w:rFonts w:ascii="宋体" w:hAnsi="宋体"/>
          <w:color w:val="auto"/>
          <w:szCs w:val="21"/>
          <w:highlight w:val="none"/>
        </w:rPr>
        <w:t>项目综合说明</w:t>
      </w:r>
      <w:r>
        <w:rPr>
          <w:rFonts w:hint="eastAsia" w:ascii="宋体" w:hAnsi="宋体"/>
          <w:color w:val="auto"/>
          <w:szCs w:val="21"/>
          <w:highlight w:val="none"/>
        </w:rPr>
        <w:t>见</w:t>
      </w:r>
      <w:r>
        <w:rPr>
          <w:rFonts w:hint="eastAsia" w:ascii="宋体" w:hAnsi="宋体"/>
          <w:b/>
          <w:bCs/>
          <w:color w:val="auto"/>
          <w:szCs w:val="21"/>
          <w:highlight w:val="none"/>
        </w:rPr>
        <w:t>《投标人须知前附表》</w:t>
      </w:r>
      <w:r>
        <w:rPr>
          <w:rFonts w:hint="eastAsia" w:ascii="宋体" w:hAnsi="宋体"/>
          <w:color w:val="auto"/>
          <w:szCs w:val="21"/>
          <w:highlight w:val="none"/>
        </w:rPr>
        <w:t>。</w:t>
      </w:r>
    </w:p>
    <w:p w14:paraId="1C1F9B4A">
      <w:pPr>
        <w:pStyle w:val="13"/>
        <w:spacing w:before="0" w:beforeLines="0" w:after="0" w:afterLines="0"/>
        <w:rPr>
          <w:rFonts w:hint="eastAsia"/>
          <w:color w:val="auto"/>
          <w:highlight w:val="none"/>
        </w:rPr>
      </w:pPr>
      <w:r>
        <w:rPr>
          <w:rFonts w:hint="eastAsia"/>
          <w:color w:val="auto"/>
          <w:highlight w:val="none"/>
        </w:rPr>
        <w:t>2．定义</w:t>
      </w:r>
    </w:p>
    <w:p w14:paraId="1AF8F511">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 xml:space="preserve"> </w:t>
      </w:r>
      <w:r>
        <w:rPr>
          <w:rFonts w:hint="eastAsia" w:ascii="宋体" w:hAnsi="宋体"/>
          <w:color w:val="auto"/>
          <w:szCs w:val="21"/>
          <w:highlight w:val="none"/>
        </w:rPr>
        <w:t>“招标人”是指：见</w:t>
      </w:r>
      <w:r>
        <w:rPr>
          <w:rFonts w:hint="eastAsia" w:ascii="宋体" w:hAnsi="宋体"/>
          <w:b/>
          <w:bCs/>
          <w:color w:val="auto"/>
          <w:szCs w:val="21"/>
          <w:highlight w:val="none"/>
        </w:rPr>
        <w:t>《投标人须知前附表》</w:t>
      </w:r>
      <w:r>
        <w:rPr>
          <w:rFonts w:hint="eastAsia" w:ascii="宋体" w:hAnsi="宋体"/>
          <w:color w:val="auto"/>
          <w:szCs w:val="21"/>
          <w:highlight w:val="none"/>
        </w:rPr>
        <w:t>。</w:t>
      </w:r>
    </w:p>
    <w:p w14:paraId="3AE640F1">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2.4</w:t>
      </w:r>
      <w:r>
        <w:rPr>
          <w:rFonts w:ascii="宋体" w:hAnsi="宋体"/>
          <w:color w:val="auto"/>
          <w:szCs w:val="21"/>
          <w:highlight w:val="none"/>
        </w:rPr>
        <w:t xml:space="preserve"> </w:t>
      </w:r>
      <w:r>
        <w:rPr>
          <w:rFonts w:hint="eastAsia" w:ascii="宋体" w:hAnsi="宋体"/>
          <w:color w:val="auto"/>
          <w:szCs w:val="21"/>
          <w:highlight w:val="none"/>
        </w:rPr>
        <w:t xml:space="preserve">合格的投标人 </w:t>
      </w:r>
    </w:p>
    <w:p w14:paraId="63592146">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 xml:space="preserve">1) 参见“第一部分 </w:t>
      </w:r>
      <w:r>
        <w:rPr>
          <w:b w:val="0"/>
          <w:bCs/>
          <w:snapToGrid w:val="0"/>
          <w:color w:val="auto"/>
          <w:highlight w:val="none"/>
        </w:rPr>
        <w:t>招标公告</w:t>
      </w:r>
      <w:r>
        <w:rPr>
          <w:rFonts w:hint="eastAsia"/>
          <w:b w:val="0"/>
          <w:bCs/>
          <w:snapToGrid w:val="0"/>
          <w:color w:val="auto"/>
          <w:highlight w:val="none"/>
        </w:rPr>
        <w:t>”。</w:t>
      </w:r>
    </w:p>
    <w:p w14:paraId="41858676">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2</w:t>
      </w:r>
      <w:r>
        <w:rPr>
          <w:rFonts w:hint="eastAsia"/>
          <w:b w:val="0"/>
          <w:bCs/>
          <w:snapToGrid w:val="0"/>
          <w:color w:val="auto"/>
          <w:highlight w:val="none"/>
        </w:rPr>
        <w:t>) 与招标人存在利害关系可能影响招标公正性的法人、其他组织或者个人，不得参加投标。</w:t>
      </w:r>
    </w:p>
    <w:p w14:paraId="1707EE93">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3</w:t>
      </w:r>
      <w:r>
        <w:rPr>
          <w:rFonts w:hint="eastAsia"/>
          <w:b w:val="0"/>
          <w:bCs/>
          <w:snapToGrid w:val="0"/>
          <w:color w:val="auto"/>
          <w:highlight w:val="none"/>
        </w:rPr>
        <w:t>) 单位负责人为同一人或者存在控股、管理关系的不同单位，不得参加同一标段投标或者未划分标段的同一招标项目投标。</w:t>
      </w:r>
    </w:p>
    <w:p w14:paraId="027A07AE">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4</w:t>
      </w:r>
      <w:r>
        <w:rPr>
          <w:rFonts w:hint="eastAsia"/>
          <w:b w:val="0"/>
          <w:bCs/>
          <w:snapToGrid w:val="0"/>
          <w:color w:val="auto"/>
          <w:highlight w:val="none"/>
        </w:rPr>
        <w:t>)</w:t>
      </w:r>
      <w:r>
        <w:rPr>
          <w:b w:val="0"/>
          <w:bCs/>
          <w:snapToGrid w:val="0"/>
          <w:color w:val="auto"/>
          <w:highlight w:val="none"/>
        </w:rPr>
        <w:t xml:space="preserve"> </w:t>
      </w:r>
      <w:r>
        <w:rPr>
          <w:rFonts w:hint="eastAsia"/>
          <w:b w:val="0"/>
          <w:bCs/>
          <w:snapToGrid w:val="0"/>
          <w:color w:val="auto"/>
          <w:highlight w:val="none"/>
        </w:rPr>
        <w:t>本项目资格审查方式见</w:t>
      </w:r>
      <w:r>
        <w:rPr>
          <w:rFonts w:hint="eastAsia"/>
          <w:snapToGrid w:val="0"/>
          <w:color w:val="auto"/>
          <w:highlight w:val="none"/>
        </w:rPr>
        <w:t>《投标人须知前附表》</w:t>
      </w:r>
      <w:r>
        <w:rPr>
          <w:rFonts w:hint="eastAsia"/>
          <w:b w:val="0"/>
          <w:bCs/>
          <w:snapToGrid w:val="0"/>
          <w:color w:val="auto"/>
          <w:highlight w:val="none"/>
        </w:rPr>
        <w:t>。</w:t>
      </w:r>
    </w:p>
    <w:p w14:paraId="66835CA5">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2.5</w:t>
      </w:r>
      <w:r>
        <w:rPr>
          <w:rFonts w:ascii="宋体" w:hAnsi="宋体"/>
          <w:color w:val="auto"/>
          <w:szCs w:val="21"/>
          <w:highlight w:val="none"/>
        </w:rPr>
        <w:t xml:space="preserve"> </w:t>
      </w:r>
      <w:r>
        <w:rPr>
          <w:rFonts w:hint="eastAsia" w:ascii="宋体" w:hAnsi="宋体"/>
          <w:color w:val="auto"/>
          <w:szCs w:val="21"/>
          <w:highlight w:val="none"/>
        </w:rPr>
        <w:t>“中标人”是指经法定程序确定并授予合同的投标人。</w:t>
      </w:r>
    </w:p>
    <w:p w14:paraId="15542DD5">
      <w:pPr>
        <w:pStyle w:val="13"/>
        <w:spacing w:before="0" w:beforeLines="0" w:after="0" w:afterLines="0"/>
        <w:rPr>
          <w:rFonts w:hint="eastAsia"/>
          <w:color w:val="auto"/>
          <w:highlight w:val="none"/>
        </w:rPr>
      </w:pPr>
      <w:r>
        <w:rPr>
          <w:rFonts w:hint="eastAsia"/>
          <w:color w:val="auto"/>
          <w:highlight w:val="none"/>
        </w:rPr>
        <w:t>3．合格的货物和服务</w:t>
      </w:r>
    </w:p>
    <w:p w14:paraId="0FEDBAB3">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3.1</w:t>
      </w:r>
      <w:r>
        <w:rPr>
          <w:rFonts w:ascii="宋体" w:hAnsi="宋体"/>
          <w:color w:val="auto"/>
          <w:szCs w:val="21"/>
          <w:highlight w:val="none"/>
        </w:rPr>
        <w:t xml:space="preserve"> </w:t>
      </w:r>
      <w:r>
        <w:rPr>
          <w:rFonts w:hint="eastAsia" w:ascii="宋体" w:hAnsi="宋体"/>
          <w:color w:val="auto"/>
          <w:szCs w:val="21"/>
          <w:highlight w:val="none"/>
        </w:rPr>
        <w:t>“货物”是指投标人制造或组织符合招标文件要求的货物等。投标的货物必须是其合法生产的符合国家有关标准要求的货物，并满足招标文件规定的规格、参数、质量、价格、有效期、售后服务等要求。</w:t>
      </w:r>
    </w:p>
    <w:p w14:paraId="3A897DC1">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3.2</w:t>
      </w:r>
      <w:r>
        <w:rPr>
          <w:rFonts w:ascii="宋体" w:hAnsi="宋体"/>
          <w:color w:val="auto"/>
          <w:szCs w:val="21"/>
          <w:highlight w:val="none"/>
        </w:rPr>
        <w:t xml:space="preserve"> </w:t>
      </w:r>
      <w:r>
        <w:rPr>
          <w:rFonts w:hint="eastAsia" w:ascii="宋体" w:hAnsi="宋体"/>
          <w:color w:val="auto"/>
          <w:szCs w:val="21"/>
          <w:highlight w:val="none"/>
        </w:rPr>
        <w:t>“服务”是指除货物和工程以外的其他采购对象,其中包括：投标人须承担的运输、安装、技术支持、培训以及招标文件规定的其它服务。</w:t>
      </w:r>
    </w:p>
    <w:p w14:paraId="13F4896C">
      <w:pPr>
        <w:pStyle w:val="13"/>
        <w:spacing w:before="0" w:beforeLines="0" w:after="0" w:afterLines="0"/>
        <w:rPr>
          <w:rFonts w:hint="eastAsia"/>
          <w:color w:val="auto"/>
          <w:highlight w:val="none"/>
        </w:rPr>
      </w:pPr>
      <w:r>
        <w:rPr>
          <w:rFonts w:hint="eastAsia"/>
          <w:color w:val="auto"/>
          <w:highlight w:val="none"/>
        </w:rPr>
        <w:t>4．投标费用</w:t>
      </w:r>
    </w:p>
    <w:p w14:paraId="7B8481C3">
      <w:pPr>
        <w:adjustRightInd w:val="0"/>
        <w:snapToGrid w:val="0"/>
        <w:spacing w:line="360" w:lineRule="auto"/>
        <w:ind w:left="476" w:hanging="476"/>
        <w:rPr>
          <w:rFonts w:hint="eastAsia"/>
          <w:b w:val="0"/>
          <w:bCs/>
          <w:snapToGrid w:val="0"/>
          <w:color w:val="auto"/>
          <w:highlight w:val="none"/>
        </w:rPr>
      </w:pPr>
      <w:r>
        <w:rPr>
          <w:rFonts w:hint="eastAsia" w:ascii="宋体" w:hAnsi="宋体"/>
          <w:color w:val="auto"/>
          <w:szCs w:val="21"/>
          <w:highlight w:val="none"/>
        </w:rPr>
        <w:t>4.1</w:t>
      </w:r>
      <w:r>
        <w:rPr>
          <w:rFonts w:ascii="宋体" w:hAnsi="宋体"/>
          <w:color w:val="auto"/>
          <w:szCs w:val="21"/>
          <w:highlight w:val="none"/>
        </w:rPr>
        <w:t xml:space="preserve"> </w:t>
      </w:r>
      <w:r>
        <w:rPr>
          <w:rFonts w:hint="eastAsia" w:ascii="宋体" w:hAnsi="宋体"/>
          <w:color w:val="auto"/>
          <w:szCs w:val="21"/>
          <w:highlight w:val="none"/>
        </w:rPr>
        <w:t>投标人应承担所有与准备和参加投标有关的费用。不论投标的结果如何，招标人均无义务和责任承担这些费用。</w:t>
      </w:r>
    </w:p>
    <w:p w14:paraId="4E093E60">
      <w:pPr>
        <w:pStyle w:val="13"/>
        <w:rPr>
          <w:rFonts w:hint="eastAsia"/>
          <w:color w:val="auto"/>
          <w:highlight w:val="none"/>
        </w:rPr>
      </w:pPr>
      <w:r>
        <w:rPr>
          <w:rFonts w:hint="eastAsia"/>
          <w:color w:val="auto"/>
          <w:highlight w:val="none"/>
        </w:rPr>
        <w:t>二、招标文件</w:t>
      </w:r>
    </w:p>
    <w:p w14:paraId="72938120">
      <w:pPr>
        <w:pStyle w:val="13"/>
        <w:spacing w:before="0" w:beforeLines="0" w:after="0" w:afterLines="0"/>
        <w:rPr>
          <w:rFonts w:hint="eastAsia"/>
          <w:color w:val="auto"/>
          <w:highlight w:val="none"/>
        </w:rPr>
      </w:pPr>
      <w:r>
        <w:rPr>
          <w:rFonts w:hint="eastAsia"/>
          <w:color w:val="auto"/>
          <w:highlight w:val="none"/>
        </w:rPr>
        <w:t>5. 招标文件的构成</w:t>
      </w:r>
    </w:p>
    <w:p w14:paraId="1B6C55EF">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5.1</w:t>
      </w:r>
      <w:r>
        <w:rPr>
          <w:rFonts w:ascii="宋体" w:hAnsi="宋体"/>
          <w:color w:val="auto"/>
          <w:szCs w:val="21"/>
          <w:highlight w:val="none"/>
        </w:rPr>
        <w:t xml:space="preserve"> </w:t>
      </w:r>
      <w:r>
        <w:rPr>
          <w:rFonts w:hint="eastAsia" w:ascii="宋体" w:hAnsi="宋体"/>
          <w:color w:val="auto"/>
          <w:szCs w:val="21"/>
          <w:highlight w:val="none"/>
        </w:rPr>
        <w:t>招标文件由下列文件以及在招标过程中发出的修正和补充文件组成：</w:t>
      </w:r>
    </w:p>
    <w:p w14:paraId="053126C8">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1) 招标公告</w:t>
      </w:r>
    </w:p>
    <w:p w14:paraId="2CFAE51F">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2) 用户需求书</w:t>
      </w:r>
    </w:p>
    <w:p w14:paraId="28702EFB">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3) 投标人须知</w:t>
      </w:r>
    </w:p>
    <w:p w14:paraId="720A5B5E">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4) 评标办法</w:t>
      </w:r>
    </w:p>
    <w:p w14:paraId="79C8EF25">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5) 合同书格式</w:t>
      </w:r>
    </w:p>
    <w:p w14:paraId="76F099C1">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6) 投标文件格式</w:t>
      </w:r>
    </w:p>
    <w:p w14:paraId="70593853">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7) 在招标过程中由招标</w:t>
      </w:r>
      <w:r>
        <w:rPr>
          <w:rFonts w:hint="eastAsia"/>
          <w:b w:val="0"/>
          <w:bCs/>
          <w:snapToGrid w:val="0"/>
          <w:color w:val="auto"/>
          <w:highlight w:val="none"/>
          <w:lang w:eastAsia="zh-CN"/>
        </w:rPr>
        <w:t>人</w:t>
      </w:r>
      <w:r>
        <w:rPr>
          <w:rFonts w:hint="eastAsia"/>
          <w:b w:val="0"/>
          <w:bCs/>
          <w:snapToGrid w:val="0"/>
          <w:color w:val="auto"/>
          <w:highlight w:val="none"/>
        </w:rPr>
        <w:t>发出的修正和补充文件等</w:t>
      </w:r>
    </w:p>
    <w:p w14:paraId="1D70C4DD">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5.2</w:t>
      </w:r>
      <w:r>
        <w:rPr>
          <w:rFonts w:ascii="宋体" w:hAnsi="宋体"/>
          <w:color w:val="auto"/>
          <w:szCs w:val="21"/>
          <w:highlight w:val="none"/>
        </w:rPr>
        <w:t xml:space="preserve"> </w:t>
      </w:r>
      <w:r>
        <w:rPr>
          <w:rFonts w:hint="eastAsia" w:ascii="宋体" w:hAnsi="宋体"/>
          <w:color w:val="auto"/>
          <w:szCs w:val="21"/>
          <w:highlight w:val="none"/>
        </w:rPr>
        <w:t>投标人应认真阅读、并充分理解招标文件的全部内容（包括所有的补充、修改内容、重要事项、格式、条款和技术规范、参数及要求等）。投标人没有按照招标文件要求提交全部资料，或者投标没有对招标文件在各方面都做出实质性响应是投标人的风险，有可能导致其投标被拒绝，或被认定为无效投标或被确定为投标无效。</w:t>
      </w:r>
    </w:p>
    <w:p w14:paraId="1BF76297">
      <w:pPr>
        <w:pStyle w:val="13"/>
        <w:spacing w:before="0" w:beforeLines="0" w:after="0" w:afterLines="0"/>
        <w:rPr>
          <w:rFonts w:hint="eastAsia"/>
          <w:color w:val="auto"/>
          <w:highlight w:val="none"/>
        </w:rPr>
      </w:pPr>
      <w:r>
        <w:rPr>
          <w:rFonts w:hint="eastAsia"/>
          <w:color w:val="auto"/>
          <w:highlight w:val="none"/>
        </w:rPr>
        <w:t>6．对招标文件的澄清问题</w:t>
      </w:r>
    </w:p>
    <w:p w14:paraId="04F0AF4E">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6.1</w:t>
      </w:r>
      <w:r>
        <w:rPr>
          <w:rFonts w:ascii="宋体" w:hAnsi="宋体"/>
          <w:color w:val="auto"/>
          <w:szCs w:val="21"/>
          <w:highlight w:val="none"/>
        </w:rPr>
        <w:t xml:space="preserve"> </w:t>
      </w:r>
      <w:r>
        <w:rPr>
          <w:rFonts w:hint="eastAsia" w:ascii="宋体" w:hAnsi="宋体"/>
          <w:color w:val="auto"/>
          <w:szCs w:val="21"/>
          <w:highlight w:val="none"/>
        </w:rPr>
        <w:t>任何要求对招标文件提出澄清问题的投标人，均应在投标截止时间</w:t>
      </w:r>
      <w:r>
        <w:rPr>
          <w:rFonts w:hint="eastAsia" w:ascii="宋体" w:hAnsi="宋体"/>
          <w:color w:val="auto"/>
          <w:szCs w:val="21"/>
          <w:highlight w:val="none"/>
          <w:lang w:val="en-US" w:eastAsia="zh-CN"/>
        </w:rPr>
        <w:t>2</w:t>
      </w:r>
      <w:r>
        <w:rPr>
          <w:rFonts w:hint="eastAsia" w:ascii="宋体" w:hAnsi="宋体"/>
          <w:color w:val="auto"/>
          <w:szCs w:val="21"/>
          <w:highlight w:val="none"/>
        </w:rPr>
        <w:t>日以前，通过电</w:t>
      </w:r>
      <w:r>
        <w:rPr>
          <w:rFonts w:hint="eastAsia" w:ascii="宋体" w:hAnsi="宋体"/>
          <w:color w:val="auto"/>
          <w:szCs w:val="21"/>
          <w:highlight w:val="none"/>
          <w:lang w:eastAsia="zh-CN"/>
        </w:rPr>
        <w:t>话</w:t>
      </w:r>
      <w:r>
        <w:rPr>
          <w:rFonts w:hint="eastAsia" w:ascii="宋体" w:hAnsi="宋体"/>
          <w:color w:val="auto"/>
          <w:szCs w:val="21"/>
          <w:highlight w:val="none"/>
        </w:rPr>
        <w:t>、电子邮件和纸质文件等可以有形地表现所载内容的形式。</w:t>
      </w:r>
    </w:p>
    <w:p w14:paraId="5FF6C119">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2</w:t>
      </w:r>
      <w:r>
        <w:rPr>
          <w:rFonts w:ascii="宋体" w:hAnsi="宋体"/>
          <w:color w:val="auto"/>
          <w:szCs w:val="21"/>
          <w:highlight w:val="none"/>
        </w:rPr>
        <w:t xml:space="preserve"> </w:t>
      </w:r>
      <w:r>
        <w:rPr>
          <w:rFonts w:hint="eastAsia" w:ascii="宋体" w:hAnsi="宋体"/>
          <w:color w:val="auto"/>
          <w:szCs w:val="21"/>
          <w:highlight w:val="none"/>
        </w:rPr>
        <w:t>投标人未在规定的时间内提出招标文件澄清问题的，</w:t>
      </w:r>
      <w:r>
        <w:rPr>
          <w:rFonts w:hint="eastAsia" w:ascii="宋体" w:hAnsi="宋体"/>
          <w:color w:val="auto"/>
          <w:szCs w:val="21"/>
          <w:highlight w:val="none"/>
          <w:lang w:eastAsia="zh-CN"/>
        </w:rPr>
        <w:t>招标人</w:t>
      </w:r>
      <w:r>
        <w:rPr>
          <w:rFonts w:hint="eastAsia" w:ascii="宋体" w:hAnsi="宋体"/>
          <w:color w:val="auto"/>
          <w:szCs w:val="21"/>
          <w:highlight w:val="none"/>
        </w:rPr>
        <w:t>将视其为无异议。对招标文件中描述有歧意或前后不一致的地方，评标委员会有权进行评判，但对同一条款的评判应适用于每个投标人。</w:t>
      </w:r>
    </w:p>
    <w:p w14:paraId="03C392C6">
      <w:pPr>
        <w:pStyle w:val="13"/>
        <w:spacing w:before="0" w:beforeLines="0" w:after="0" w:afterLines="0"/>
        <w:rPr>
          <w:rFonts w:hint="eastAsia"/>
          <w:color w:val="auto"/>
          <w:highlight w:val="none"/>
        </w:rPr>
      </w:pPr>
      <w:r>
        <w:rPr>
          <w:rFonts w:hint="eastAsia"/>
          <w:color w:val="auto"/>
          <w:highlight w:val="none"/>
        </w:rPr>
        <w:t>7．招标文件的澄清与修改</w:t>
      </w:r>
    </w:p>
    <w:p w14:paraId="2CB6A860">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7.l</w:t>
      </w:r>
      <w:r>
        <w:rPr>
          <w:rFonts w:ascii="宋体" w:hAnsi="宋体"/>
          <w:color w:val="auto"/>
          <w:szCs w:val="21"/>
          <w:highlight w:val="none"/>
        </w:rPr>
        <w:t xml:space="preserve"> </w:t>
      </w:r>
      <w:r>
        <w:rPr>
          <w:rFonts w:hint="eastAsia" w:ascii="宋体" w:hAnsi="宋体"/>
          <w:color w:val="auto"/>
          <w:szCs w:val="21"/>
          <w:highlight w:val="none"/>
        </w:rPr>
        <w:t>在投标截止时间</w:t>
      </w:r>
      <w:r>
        <w:rPr>
          <w:rFonts w:hint="eastAsia" w:ascii="宋体" w:hAnsi="宋体"/>
          <w:color w:val="auto"/>
          <w:szCs w:val="21"/>
          <w:highlight w:val="none"/>
          <w:lang w:val="en-US" w:eastAsia="zh-CN"/>
        </w:rPr>
        <w:t>2</w:t>
      </w:r>
      <w:r>
        <w:rPr>
          <w:rFonts w:hint="eastAsia" w:ascii="宋体" w:hAnsi="宋体"/>
          <w:color w:val="auto"/>
          <w:szCs w:val="21"/>
          <w:highlight w:val="none"/>
        </w:rPr>
        <w:t>日以前，无论出于何种原因，</w:t>
      </w:r>
      <w:r>
        <w:rPr>
          <w:rFonts w:hint="eastAsia" w:ascii="宋体" w:hAnsi="宋体"/>
          <w:color w:val="auto"/>
          <w:szCs w:val="21"/>
          <w:highlight w:val="none"/>
          <w:lang w:eastAsia="zh-CN"/>
        </w:rPr>
        <w:t>招标人</w:t>
      </w:r>
      <w:r>
        <w:rPr>
          <w:rFonts w:hint="eastAsia" w:ascii="宋体" w:hAnsi="宋体"/>
          <w:color w:val="auto"/>
          <w:szCs w:val="21"/>
          <w:highlight w:val="none"/>
        </w:rPr>
        <w:t>可主动地或在解答投标人提出的疑问时对招标文件进行澄清与修改。</w:t>
      </w:r>
    </w:p>
    <w:p w14:paraId="0D04B57C">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7.2</w:t>
      </w:r>
      <w:r>
        <w:rPr>
          <w:rFonts w:ascii="宋体" w:hAnsi="宋体"/>
          <w:color w:val="auto"/>
          <w:szCs w:val="21"/>
          <w:highlight w:val="none"/>
        </w:rPr>
        <w:t xml:space="preserve"> </w:t>
      </w:r>
      <w:r>
        <w:rPr>
          <w:rFonts w:hint="eastAsia" w:ascii="宋体" w:hAnsi="宋体"/>
          <w:color w:val="auto"/>
          <w:szCs w:val="21"/>
          <w:highlight w:val="none"/>
        </w:rPr>
        <w:t>招标文件澄清与修改后的内容是招标文件的组成部分，将以书面形式通知所有购买招标文件的潜在投标人，并对潜在投标人具有约束力。当招标文件、招标文件澄清与修改内容相互矛盾时，以最后时间发出的内容为准。</w:t>
      </w:r>
    </w:p>
    <w:p w14:paraId="740BB919">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7.3 招标文件的澄清与修改是招标文件的组成部分，将通过广州工控集团官方网站采购平台（https://ips.giihg.com）或广重集团官方网站（https://www.gzhm.com）通知所有</w:t>
      </w:r>
      <w:r>
        <w:rPr>
          <w:rFonts w:hint="eastAsia" w:ascii="宋体" w:hAnsi="宋体"/>
          <w:color w:val="auto"/>
          <w:szCs w:val="21"/>
          <w:highlight w:val="none"/>
          <w:lang w:eastAsia="zh-CN"/>
        </w:rPr>
        <w:t>获取</w:t>
      </w:r>
      <w:r>
        <w:rPr>
          <w:rFonts w:hint="eastAsia" w:ascii="宋体" w:hAnsi="宋体"/>
          <w:color w:val="auto"/>
          <w:szCs w:val="21"/>
          <w:highlight w:val="none"/>
        </w:rPr>
        <w:t>招标文件的潜在投标人，并对其具有约束力。</w:t>
      </w:r>
    </w:p>
    <w:p w14:paraId="63173E9A">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7.4</w:t>
      </w:r>
      <w:r>
        <w:rPr>
          <w:rFonts w:ascii="宋体" w:hAnsi="宋体"/>
          <w:color w:val="auto"/>
          <w:szCs w:val="21"/>
          <w:highlight w:val="none"/>
        </w:rPr>
        <w:t xml:space="preserve"> </w:t>
      </w:r>
      <w:r>
        <w:rPr>
          <w:rFonts w:hint="eastAsia" w:ascii="宋体" w:hAnsi="宋体"/>
          <w:color w:val="auto"/>
          <w:szCs w:val="21"/>
          <w:highlight w:val="none"/>
        </w:rPr>
        <w:t>为使投标人准备投标时有充足时间对招标文件的澄清与修改部分进行研究，</w:t>
      </w:r>
      <w:r>
        <w:rPr>
          <w:rFonts w:hint="eastAsia" w:ascii="宋体" w:hAnsi="宋体"/>
          <w:color w:val="auto"/>
          <w:szCs w:val="21"/>
          <w:highlight w:val="none"/>
          <w:lang w:eastAsia="zh-CN"/>
        </w:rPr>
        <w:t>招标人</w:t>
      </w:r>
      <w:r>
        <w:rPr>
          <w:rFonts w:hint="eastAsia" w:ascii="宋体" w:hAnsi="宋体"/>
          <w:color w:val="auto"/>
          <w:szCs w:val="21"/>
          <w:highlight w:val="none"/>
        </w:rPr>
        <w:t>可适当推迟投标截止期，但应发布公告并书面通知所有</w:t>
      </w:r>
      <w:r>
        <w:rPr>
          <w:rFonts w:hint="eastAsia" w:ascii="宋体" w:hAnsi="宋体"/>
          <w:color w:val="auto"/>
          <w:szCs w:val="21"/>
          <w:highlight w:val="none"/>
          <w:lang w:val="en-US" w:eastAsia="zh-CN"/>
        </w:rPr>
        <w:t>获取</w:t>
      </w:r>
      <w:r>
        <w:rPr>
          <w:rFonts w:hint="eastAsia" w:ascii="宋体" w:hAnsi="宋体"/>
          <w:color w:val="auto"/>
          <w:szCs w:val="21"/>
          <w:highlight w:val="none"/>
        </w:rPr>
        <w:t>招标文件的潜在投标人。</w:t>
      </w:r>
    </w:p>
    <w:p w14:paraId="715A8806">
      <w:pPr>
        <w:pStyle w:val="13"/>
        <w:rPr>
          <w:rFonts w:hint="eastAsia"/>
          <w:color w:val="auto"/>
          <w:highlight w:val="none"/>
        </w:rPr>
      </w:pPr>
      <w:r>
        <w:rPr>
          <w:rFonts w:hint="eastAsia"/>
          <w:color w:val="auto"/>
          <w:highlight w:val="none"/>
        </w:rPr>
        <w:t>三、投标文件的编制和数量</w:t>
      </w:r>
    </w:p>
    <w:p w14:paraId="3AAC01E0">
      <w:pPr>
        <w:pStyle w:val="13"/>
        <w:spacing w:before="0" w:beforeLines="0" w:after="0" w:afterLines="0"/>
        <w:rPr>
          <w:rFonts w:hint="eastAsia"/>
          <w:color w:val="auto"/>
          <w:highlight w:val="none"/>
        </w:rPr>
      </w:pPr>
      <w:r>
        <w:rPr>
          <w:rFonts w:hint="eastAsia"/>
          <w:color w:val="auto"/>
          <w:highlight w:val="none"/>
        </w:rPr>
        <w:t>8．投标的语言</w:t>
      </w:r>
    </w:p>
    <w:p w14:paraId="6AE784C8">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8.1</w:t>
      </w:r>
      <w:r>
        <w:rPr>
          <w:rFonts w:ascii="宋体" w:hAnsi="宋体"/>
          <w:color w:val="auto"/>
          <w:szCs w:val="21"/>
          <w:highlight w:val="none"/>
        </w:rPr>
        <w:t xml:space="preserve"> </w:t>
      </w:r>
      <w:r>
        <w:rPr>
          <w:rFonts w:hint="eastAsia" w:ascii="宋体" w:hAnsi="宋体"/>
          <w:color w:val="auto"/>
          <w:szCs w:val="21"/>
          <w:highlight w:val="none"/>
        </w:rPr>
        <w:t>投标人提交的投标文件以及投标人与招标</w:t>
      </w:r>
      <w:r>
        <w:rPr>
          <w:rFonts w:hint="eastAsia" w:ascii="宋体" w:hAnsi="宋体"/>
          <w:color w:val="auto"/>
          <w:szCs w:val="21"/>
          <w:highlight w:val="none"/>
          <w:lang w:eastAsia="zh-CN"/>
        </w:rPr>
        <w:t>人</w:t>
      </w:r>
      <w:r>
        <w:rPr>
          <w:rFonts w:hint="eastAsia" w:ascii="宋体" w:hAnsi="宋体"/>
          <w:color w:val="auto"/>
          <w:szCs w:val="21"/>
          <w:highlight w:val="none"/>
        </w:rPr>
        <w:t>就有关投标的所有来往函电均应使用中文。投标人提交的支持文件或印刷的资料可以用另一种语言，但相应内容应附有中文翻译本，在解释投标文件的修改内容时以中文翻译本为准。对中文翻译有异议的，以权威机构的译本为准。</w:t>
      </w:r>
    </w:p>
    <w:p w14:paraId="791F5693">
      <w:pPr>
        <w:pStyle w:val="13"/>
        <w:spacing w:before="0" w:beforeLines="0" w:after="0" w:afterLines="0"/>
        <w:rPr>
          <w:rFonts w:hint="eastAsia"/>
          <w:color w:val="auto"/>
          <w:highlight w:val="none"/>
        </w:rPr>
      </w:pPr>
      <w:r>
        <w:rPr>
          <w:rFonts w:hint="eastAsia"/>
          <w:color w:val="auto"/>
          <w:highlight w:val="none"/>
        </w:rPr>
        <w:t>9．投标文件的构成</w:t>
      </w:r>
    </w:p>
    <w:p w14:paraId="478319D4">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9.1</w:t>
      </w:r>
      <w:r>
        <w:rPr>
          <w:rFonts w:ascii="宋体" w:hAnsi="宋体"/>
          <w:color w:val="auto"/>
          <w:szCs w:val="21"/>
          <w:highlight w:val="none"/>
        </w:rPr>
        <w:t xml:space="preserve"> </w:t>
      </w:r>
      <w:r>
        <w:rPr>
          <w:rFonts w:hint="eastAsia" w:ascii="宋体" w:hAnsi="宋体"/>
          <w:color w:val="auto"/>
          <w:szCs w:val="21"/>
          <w:highlight w:val="none"/>
        </w:rPr>
        <w:t>投标文件的构成应符合法律法规及招标文件的要求。</w:t>
      </w:r>
    </w:p>
    <w:p w14:paraId="4D6A3364">
      <w:pPr>
        <w:adjustRightInd w:val="0"/>
        <w:snapToGrid w:val="0"/>
        <w:spacing w:line="360" w:lineRule="auto"/>
        <w:ind w:left="420" w:hanging="420"/>
        <w:rPr>
          <w:rFonts w:hint="eastAsia" w:ascii="宋体" w:hAnsi="宋体"/>
          <w:color w:val="auto"/>
          <w:szCs w:val="21"/>
          <w:highlight w:val="none"/>
        </w:rPr>
      </w:pPr>
      <w:r>
        <w:rPr>
          <w:rFonts w:hint="eastAsia" w:ascii="宋体" w:hAnsi="宋体"/>
          <w:color w:val="auto"/>
          <w:szCs w:val="21"/>
          <w:highlight w:val="none"/>
        </w:rPr>
        <w:t>9.2</w:t>
      </w:r>
      <w:r>
        <w:rPr>
          <w:rFonts w:ascii="宋体" w:hAnsi="宋体"/>
          <w:color w:val="auto"/>
          <w:szCs w:val="21"/>
          <w:highlight w:val="none"/>
        </w:rPr>
        <w:t xml:space="preserve"> </w:t>
      </w:r>
      <w:r>
        <w:rPr>
          <w:rFonts w:hint="eastAsia" w:ascii="宋体" w:hAnsi="宋体"/>
          <w:color w:val="auto"/>
          <w:szCs w:val="21"/>
          <w:highlight w:val="none"/>
        </w:rPr>
        <w:t xml:space="preserve">投标人应按本招标文件规定的内容和格式编制并提交投标文件，投标文件应参照招标文件“第六部分 投标文件格式”的内容要求、编排顺序和格式要求，按顺序编制，提供全面的投标文件。包含但不限于以下内容： </w:t>
      </w:r>
    </w:p>
    <w:p w14:paraId="0A56B819">
      <w:pPr>
        <w:tabs>
          <w:tab w:val="left" w:pos="360"/>
        </w:tabs>
        <w:adjustRightInd w:val="0"/>
        <w:snapToGrid w:val="0"/>
        <w:spacing w:line="360" w:lineRule="auto"/>
        <w:ind w:left="672" w:hanging="312"/>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1)</w:t>
      </w:r>
      <w:r>
        <w:rPr>
          <w:rFonts w:ascii="宋体" w:hAnsi="宋体"/>
          <w:snapToGrid w:val="0"/>
          <w:color w:val="auto"/>
          <w:kern w:val="0"/>
          <w:szCs w:val="21"/>
          <w:highlight w:val="none"/>
        </w:rPr>
        <w:t xml:space="preserve"> </w:t>
      </w:r>
      <w:r>
        <w:rPr>
          <w:rFonts w:hint="eastAsia" w:ascii="宋体" w:hAnsi="宋体"/>
          <w:snapToGrid w:val="0"/>
          <w:color w:val="auto"/>
          <w:kern w:val="0"/>
          <w:szCs w:val="21"/>
          <w:highlight w:val="none"/>
        </w:rPr>
        <w:t>资格和符合性</w:t>
      </w:r>
      <w:r>
        <w:rPr>
          <w:rFonts w:hint="eastAsia" w:ascii="宋体" w:hAnsi="宋体"/>
          <w:snapToGrid w:val="0"/>
          <w:color w:val="auto"/>
          <w:kern w:val="0"/>
          <w:szCs w:val="21"/>
          <w:highlight w:val="none"/>
          <w:lang w:eastAsia="zh-CN"/>
        </w:rPr>
        <w:t>评标</w:t>
      </w:r>
      <w:r>
        <w:rPr>
          <w:rFonts w:hint="eastAsia" w:ascii="宋体" w:hAnsi="宋体"/>
          <w:snapToGrid w:val="0"/>
          <w:color w:val="auto"/>
          <w:kern w:val="0"/>
          <w:szCs w:val="21"/>
          <w:highlight w:val="none"/>
        </w:rPr>
        <w:t>自查表</w:t>
      </w:r>
    </w:p>
    <w:p w14:paraId="5B435181">
      <w:pPr>
        <w:tabs>
          <w:tab w:val="left" w:pos="360"/>
        </w:tabs>
        <w:adjustRightInd w:val="0"/>
        <w:snapToGrid w:val="0"/>
        <w:spacing w:line="360" w:lineRule="auto"/>
        <w:ind w:left="672" w:hanging="312"/>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2)</w:t>
      </w:r>
      <w:r>
        <w:rPr>
          <w:rFonts w:ascii="宋体" w:hAnsi="宋体"/>
          <w:snapToGrid w:val="0"/>
          <w:color w:val="auto"/>
          <w:kern w:val="0"/>
          <w:szCs w:val="21"/>
          <w:highlight w:val="none"/>
        </w:rPr>
        <w:t xml:space="preserve"> </w:t>
      </w:r>
      <w:r>
        <w:rPr>
          <w:rFonts w:hint="eastAsia" w:ascii="宋体" w:hAnsi="宋体"/>
          <w:snapToGrid w:val="0"/>
          <w:color w:val="auto"/>
          <w:kern w:val="0"/>
          <w:szCs w:val="21"/>
          <w:highlight w:val="none"/>
        </w:rPr>
        <w:t>投标报价表</w:t>
      </w:r>
    </w:p>
    <w:p w14:paraId="264DFC65">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① 投标报价总表</w:t>
      </w:r>
    </w:p>
    <w:p w14:paraId="57970180">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② 投标报价明细表</w:t>
      </w:r>
    </w:p>
    <w:p w14:paraId="2EEEECDB">
      <w:pPr>
        <w:tabs>
          <w:tab w:val="left" w:pos="360"/>
        </w:tabs>
        <w:adjustRightInd w:val="0"/>
        <w:snapToGrid w:val="0"/>
        <w:spacing w:line="360" w:lineRule="auto"/>
        <w:ind w:left="672" w:hanging="312"/>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3)</w:t>
      </w:r>
      <w:r>
        <w:rPr>
          <w:rFonts w:ascii="宋体" w:hAnsi="宋体"/>
          <w:snapToGrid w:val="0"/>
          <w:color w:val="auto"/>
          <w:kern w:val="0"/>
          <w:szCs w:val="21"/>
          <w:highlight w:val="none"/>
        </w:rPr>
        <w:t xml:space="preserve"> </w:t>
      </w:r>
      <w:r>
        <w:rPr>
          <w:rFonts w:hint="eastAsia" w:ascii="宋体" w:hAnsi="宋体"/>
          <w:snapToGrid w:val="0"/>
          <w:color w:val="auto"/>
          <w:kern w:val="0"/>
          <w:szCs w:val="21"/>
          <w:highlight w:val="none"/>
        </w:rPr>
        <w:t>资格性文件</w:t>
      </w:r>
    </w:p>
    <w:p w14:paraId="23FDAF16">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① 投标函</w:t>
      </w:r>
    </w:p>
    <w:p w14:paraId="65347AB6">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② 授权委托书</w:t>
      </w:r>
    </w:p>
    <w:p w14:paraId="6DF0EE00">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③ 投标保证金交纳凭证</w:t>
      </w:r>
    </w:p>
    <w:p w14:paraId="38D81D18">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④ 关于资格的声明函</w:t>
      </w:r>
    </w:p>
    <w:p w14:paraId="0CCFE6E0">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⑤ 投标承诺书</w:t>
      </w:r>
    </w:p>
    <w:p w14:paraId="08099A91">
      <w:pPr>
        <w:tabs>
          <w:tab w:val="left" w:pos="360"/>
        </w:tabs>
        <w:adjustRightInd w:val="0"/>
        <w:snapToGrid w:val="0"/>
        <w:spacing w:line="360" w:lineRule="auto"/>
        <w:ind w:left="672" w:hanging="312"/>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4)</w:t>
      </w:r>
      <w:r>
        <w:rPr>
          <w:rFonts w:ascii="宋体" w:hAnsi="宋体"/>
          <w:snapToGrid w:val="0"/>
          <w:color w:val="auto"/>
          <w:kern w:val="0"/>
          <w:szCs w:val="21"/>
          <w:highlight w:val="none"/>
        </w:rPr>
        <w:t xml:space="preserve"> </w:t>
      </w:r>
      <w:r>
        <w:rPr>
          <w:rFonts w:hint="eastAsia" w:ascii="宋体" w:hAnsi="宋体"/>
          <w:snapToGrid w:val="0"/>
          <w:color w:val="auto"/>
          <w:kern w:val="0"/>
          <w:szCs w:val="21"/>
          <w:highlight w:val="none"/>
        </w:rPr>
        <w:t>商务部分</w:t>
      </w:r>
    </w:p>
    <w:p w14:paraId="7C3F1F57">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① 投标人概况</w:t>
      </w:r>
    </w:p>
    <w:p w14:paraId="37D07BB0">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② 商务条款响应表</w:t>
      </w:r>
    </w:p>
    <w:p w14:paraId="6726FA1E">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③ 企业管理体系认证</w:t>
      </w:r>
    </w:p>
    <w:p w14:paraId="08113E21">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④ 投标人同类项目的业绩介绍</w:t>
      </w:r>
    </w:p>
    <w:p w14:paraId="0F1F82A8">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⑤ 拟任执行管理及技术人员情况</w:t>
      </w:r>
    </w:p>
    <w:p w14:paraId="11F8ED09">
      <w:pPr>
        <w:tabs>
          <w:tab w:val="left" w:pos="360"/>
        </w:tabs>
        <w:adjustRightInd w:val="0"/>
        <w:snapToGrid w:val="0"/>
        <w:spacing w:line="360" w:lineRule="auto"/>
        <w:ind w:left="672" w:hanging="312"/>
        <w:rPr>
          <w:rFonts w:hint="eastAsia" w:ascii="宋体" w:hAnsi="宋体"/>
          <w:snapToGrid w:val="0"/>
          <w:color w:val="auto"/>
          <w:kern w:val="0"/>
          <w:szCs w:val="21"/>
          <w:highlight w:val="none"/>
        </w:rPr>
      </w:pPr>
      <w:r>
        <w:rPr>
          <w:rFonts w:ascii="宋体" w:hAnsi="宋体"/>
          <w:snapToGrid w:val="0"/>
          <w:color w:val="auto"/>
          <w:kern w:val="0"/>
          <w:szCs w:val="21"/>
          <w:highlight w:val="none"/>
        </w:rPr>
        <w:t>5</w:t>
      </w:r>
      <w:r>
        <w:rPr>
          <w:rFonts w:hint="eastAsia" w:ascii="宋体" w:hAnsi="宋体"/>
          <w:snapToGrid w:val="0"/>
          <w:color w:val="auto"/>
          <w:kern w:val="0"/>
          <w:szCs w:val="21"/>
          <w:highlight w:val="none"/>
        </w:rPr>
        <w:t>)</w:t>
      </w:r>
      <w:r>
        <w:rPr>
          <w:rFonts w:ascii="宋体" w:hAnsi="宋体"/>
          <w:snapToGrid w:val="0"/>
          <w:color w:val="auto"/>
          <w:kern w:val="0"/>
          <w:szCs w:val="21"/>
          <w:highlight w:val="none"/>
        </w:rPr>
        <w:t xml:space="preserve"> </w:t>
      </w:r>
      <w:r>
        <w:rPr>
          <w:rFonts w:hint="eastAsia" w:ascii="宋体" w:hAnsi="宋体"/>
          <w:snapToGrid w:val="0"/>
          <w:color w:val="auto"/>
          <w:kern w:val="0"/>
          <w:szCs w:val="21"/>
          <w:highlight w:val="none"/>
        </w:rPr>
        <w:t>技术部分</w:t>
      </w:r>
    </w:p>
    <w:p w14:paraId="605C2FBB">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① 技术条款响应表</w:t>
      </w:r>
    </w:p>
    <w:p w14:paraId="3AF78116">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② 技术方案</w:t>
      </w:r>
    </w:p>
    <w:p w14:paraId="4BCF9D3E">
      <w:pPr>
        <w:tabs>
          <w:tab w:val="left" w:pos="360"/>
        </w:tabs>
        <w:adjustRightInd w:val="0"/>
        <w:snapToGrid w:val="0"/>
        <w:spacing w:line="360" w:lineRule="auto"/>
        <w:ind w:left="672" w:hanging="312"/>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6)</w:t>
      </w:r>
      <w:r>
        <w:rPr>
          <w:rFonts w:ascii="宋体" w:hAnsi="宋体"/>
          <w:snapToGrid w:val="0"/>
          <w:color w:val="auto"/>
          <w:kern w:val="0"/>
          <w:szCs w:val="21"/>
          <w:highlight w:val="none"/>
        </w:rPr>
        <w:t xml:space="preserve"> </w:t>
      </w:r>
      <w:r>
        <w:rPr>
          <w:rFonts w:hint="eastAsia" w:ascii="宋体" w:hAnsi="宋体"/>
          <w:snapToGrid w:val="0"/>
          <w:color w:val="auto"/>
          <w:kern w:val="0"/>
          <w:szCs w:val="21"/>
          <w:highlight w:val="none"/>
        </w:rPr>
        <w:t>其他部分</w:t>
      </w:r>
    </w:p>
    <w:p w14:paraId="69DA9A5E">
      <w:pPr>
        <w:tabs>
          <w:tab w:val="left" w:pos="360"/>
        </w:tabs>
        <w:adjustRightInd w:val="0"/>
        <w:snapToGrid w:val="0"/>
        <w:spacing w:line="360" w:lineRule="auto"/>
        <w:ind w:left="709"/>
        <w:rPr>
          <w:rFonts w:hint="eastAsia" w:ascii="宋体" w:hAnsi="宋体"/>
          <w:snapToGrid w:val="0"/>
          <w:color w:val="auto"/>
          <w:kern w:val="0"/>
          <w:szCs w:val="21"/>
          <w:highlight w:val="none"/>
        </w:rPr>
      </w:pPr>
      <w:r>
        <w:rPr>
          <w:rFonts w:hint="eastAsia" w:ascii="宋体" w:hAnsi="宋体"/>
          <w:snapToGrid w:val="0"/>
          <w:color w:val="auto"/>
          <w:kern w:val="0"/>
          <w:szCs w:val="21"/>
          <w:highlight w:val="none"/>
        </w:rPr>
        <w:t>① 关于提供增值税专用发票的承诺书格式</w:t>
      </w:r>
    </w:p>
    <w:p w14:paraId="093FF84A">
      <w:pPr>
        <w:pStyle w:val="13"/>
        <w:spacing w:before="0" w:beforeLines="0" w:after="0" w:afterLines="0"/>
        <w:rPr>
          <w:rFonts w:hint="eastAsia"/>
          <w:color w:val="auto"/>
          <w:highlight w:val="none"/>
        </w:rPr>
      </w:pPr>
      <w:r>
        <w:rPr>
          <w:rFonts w:hint="eastAsia"/>
          <w:color w:val="auto"/>
          <w:highlight w:val="none"/>
        </w:rPr>
        <w:t>10．投标文件编制</w:t>
      </w:r>
    </w:p>
    <w:p w14:paraId="3254B0CC">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10.</w:t>
      </w:r>
      <w:r>
        <w:rPr>
          <w:rFonts w:hint="eastAsia" w:ascii="宋体" w:hAnsi="宋体"/>
          <w:color w:val="auto"/>
          <w:szCs w:val="21"/>
          <w:highlight w:val="none"/>
          <w:lang w:val="en-US" w:eastAsia="zh-CN"/>
        </w:rPr>
        <w:t>1</w:t>
      </w:r>
      <w:r>
        <w:rPr>
          <w:rFonts w:hint="eastAsia" w:ascii="宋体" w:hAnsi="宋体"/>
          <w:color w:val="auto"/>
          <w:szCs w:val="21"/>
          <w:highlight w:val="none"/>
        </w:rPr>
        <w:t>投标人应完整、真实、准确的填写招标文件中规定的所有内容。</w:t>
      </w:r>
    </w:p>
    <w:p w14:paraId="4E52FD9A">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10.</w:t>
      </w:r>
      <w:r>
        <w:rPr>
          <w:rFonts w:hint="eastAsia" w:ascii="宋体" w:hAnsi="宋体"/>
          <w:color w:val="auto"/>
          <w:szCs w:val="21"/>
          <w:highlight w:val="none"/>
          <w:lang w:val="en-US" w:eastAsia="zh-CN"/>
        </w:rPr>
        <w:t>2</w:t>
      </w:r>
      <w:r>
        <w:rPr>
          <w:rFonts w:hint="eastAsia" w:ascii="宋体" w:hAnsi="宋体"/>
          <w:color w:val="auto"/>
          <w:szCs w:val="21"/>
          <w:highlight w:val="none"/>
        </w:rPr>
        <w:t>投标人必须对投标文件所提供的全部资料的真实性承担法律责任，并无条件接受招标</w:t>
      </w:r>
      <w:r>
        <w:rPr>
          <w:rFonts w:hint="eastAsia" w:ascii="宋体" w:hAnsi="宋体"/>
          <w:color w:val="auto"/>
          <w:szCs w:val="21"/>
          <w:highlight w:val="none"/>
          <w:lang w:eastAsia="zh-CN"/>
        </w:rPr>
        <w:t>人</w:t>
      </w:r>
      <w:r>
        <w:rPr>
          <w:rFonts w:hint="eastAsia" w:ascii="宋体" w:hAnsi="宋体"/>
          <w:color w:val="auto"/>
          <w:szCs w:val="21"/>
          <w:highlight w:val="none"/>
        </w:rPr>
        <w:t>及招标监督管理部门等对其中任何资料进行核实的要求。投标人必须对投标文件所提供的全部资料的真实性承担法律责任。</w:t>
      </w:r>
    </w:p>
    <w:p w14:paraId="36AF9C1E">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10.</w:t>
      </w:r>
      <w:r>
        <w:rPr>
          <w:rFonts w:hint="eastAsia" w:ascii="宋体" w:hAnsi="宋体"/>
          <w:color w:val="auto"/>
          <w:szCs w:val="21"/>
          <w:highlight w:val="none"/>
          <w:lang w:val="en-US" w:eastAsia="zh-CN"/>
        </w:rPr>
        <w:t>3</w:t>
      </w:r>
      <w:r>
        <w:rPr>
          <w:rFonts w:hint="eastAsia" w:ascii="宋体" w:hAnsi="宋体"/>
          <w:color w:val="auto"/>
          <w:szCs w:val="21"/>
          <w:highlight w:val="none"/>
        </w:rPr>
        <w:t>如果因为投标人投标文件填报的内容不详，或没有提供招标文件中所要求的全部资料及数据，由此造成的后果，其责任由投标人承担。</w:t>
      </w:r>
    </w:p>
    <w:p w14:paraId="4768BD1A">
      <w:pPr>
        <w:pStyle w:val="13"/>
        <w:spacing w:before="0" w:beforeLines="0" w:after="0" w:afterLines="0"/>
        <w:rPr>
          <w:rFonts w:hint="eastAsia"/>
          <w:color w:val="auto"/>
          <w:highlight w:val="none"/>
        </w:rPr>
      </w:pPr>
      <w:r>
        <w:rPr>
          <w:rFonts w:hint="eastAsia"/>
          <w:color w:val="auto"/>
          <w:highlight w:val="none"/>
        </w:rPr>
        <w:t>11．投标报价</w:t>
      </w:r>
    </w:p>
    <w:p w14:paraId="4AF644DE">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11.1投标人所提供的货物和服务均应以人民币报价，若同时以人民币及外币报价的，以人民币报价为准。</w:t>
      </w:r>
    </w:p>
    <w:p w14:paraId="44F52A9A">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11.2投标人应按照“第二部分 用户需求书”规定的内容、责任范围以及合同条款进行报价。并按《投标报价表》和《投标明细报价表》确定的格式报出分项价格和总价。投标总价中不得包含招标文件要求以外的内容，否则，在评标时不予核减。投标总价中也不得缺漏招标文件所要求的内容，否则，其投标将可能被视为无效投标或确定为投标无效。</w:t>
      </w:r>
    </w:p>
    <w:p w14:paraId="4038C292">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11.3《投标明细报价表》填写时应响应下列要求：</w:t>
      </w:r>
    </w:p>
    <w:p w14:paraId="3B8836A7">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1) 对于报价免费的项目必须标明“免费”；</w:t>
      </w:r>
    </w:p>
    <w:p w14:paraId="706F4977">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2) 所有根据合同或其它原因应由投标人支付的税款和其它应交纳的费用都要包括在投标人提交的投标价格中；</w:t>
      </w:r>
    </w:p>
    <w:p w14:paraId="6B084D7B">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3) 应包含货物运至最终目的地的运输、保险和伴随货物服务的其他所有费用，并承担在途货物运输的风险。</w:t>
      </w:r>
    </w:p>
    <w:p w14:paraId="1F8E63CB">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11.4每一种规格的货物只允许有一个报价，否则将被视为无效投标。</w:t>
      </w:r>
    </w:p>
    <w:p w14:paraId="2B520B31">
      <w:pPr>
        <w:pStyle w:val="13"/>
        <w:spacing w:before="0" w:beforeLines="0" w:after="0" w:afterLines="0"/>
        <w:rPr>
          <w:rFonts w:hint="eastAsia"/>
          <w:color w:val="auto"/>
          <w:highlight w:val="none"/>
        </w:rPr>
      </w:pPr>
      <w:r>
        <w:rPr>
          <w:rFonts w:hint="eastAsia"/>
          <w:color w:val="auto"/>
          <w:highlight w:val="none"/>
        </w:rPr>
        <w:t>12．备选方案</w:t>
      </w:r>
    </w:p>
    <w:p w14:paraId="0964AE9B">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12.1备选方案应符合</w:t>
      </w:r>
      <w:r>
        <w:rPr>
          <w:rFonts w:hint="eastAsia" w:ascii="宋体" w:hAnsi="宋体"/>
          <w:b/>
          <w:bCs/>
          <w:color w:val="auto"/>
          <w:szCs w:val="21"/>
          <w:highlight w:val="none"/>
        </w:rPr>
        <w:t>《投标人须知前附表》</w:t>
      </w:r>
      <w:r>
        <w:rPr>
          <w:rFonts w:hint="eastAsia" w:ascii="宋体" w:hAnsi="宋体"/>
          <w:color w:val="auto"/>
          <w:szCs w:val="21"/>
          <w:highlight w:val="none"/>
        </w:rPr>
        <w:t>要求。如只允许投标人有一个投标方案，否则将被视为无效投标。</w:t>
      </w:r>
    </w:p>
    <w:p w14:paraId="13AD2819">
      <w:pPr>
        <w:pStyle w:val="13"/>
        <w:spacing w:before="0" w:beforeLines="0" w:after="0" w:afterLines="0"/>
        <w:rPr>
          <w:rFonts w:hint="eastAsia"/>
          <w:color w:val="auto"/>
          <w:highlight w:val="none"/>
        </w:rPr>
      </w:pPr>
      <w:r>
        <w:rPr>
          <w:rFonts w:hint="eastAsia"/>
          <w:color w:val="auto"/>
          <w:highlight w:val="none"/>
        </w:rPr>
        <w:t>13．联合体投标</w:t>
      </w:r>
    </w:p>
    <w:p w14:paraId="7943B620">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13.1</w:t>
      </w:r>
      <w:r>
        <w:rPr>
          <w:rFonts w:hint="eastAsia" w:ascii="宋体" w:hAnsi="宋体"/>
          <w:color w:val="auto"/>
          <w:szCs w:val="21"/>
          <w:highlight w:val="none"/>
          <w:lang w:val="en-US" w:eastAsia="zh-CN"/>
        </w:rPr>
        <w:t>本次招标不接受联合体投标</w:t>
      </w:r>
      <w:r>
        <w:rPr>
          <w:rFonts w:hint="eastAsia" w:ascii="宋体" w:hAnsi="宋体"/>
          <w:color w:val="auto"/>
          <w:szCs w:val="21"/>
          <w:highlight w:val="none"/>
        </w:rPr>
        <w:t>。</w:t>
      </w:r>
    </w:p>
    <w:p w14:paraId="07556EB4">
      <w:pPr>
        <w:pStyle w:val="13"/>
        <w:spacing w:before="0" w:beforeLines="0" w:after="0" w:afterLines="0"/>
        <w:rPr>
          <w:rFonts w:hint="eastAsia"/>
          <w:color w:val="auto"/>
          <w:highlight w:val="none"/>
        </w:rPr>
      </w:pPr>
      <w:r>
        <w:rPr>
          <w:rFonts w:hint="eastAsia"/>
          <w:color w:val="auto"/>
          <w:highlight w:val="none"/>
        </w:rPr>
        <w:t>14．投标人资格证明文件</w:t>
      </w:r>
    </w:p>
    <w:p w14:paraId="410C09C8">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14.1投标人应按招标文件的要求，提交证明其有资格参加投标和中标后有履行合同能力的文件，并作为其投标文件的组成部分，包括但不限于下列文件：</w:t>
      </w:r>
    </w:p>
    <w:p w14:paraId="273A97E8">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1) 投标函；</w:t>
      </w:r>
    </w:p>
    <w:p w14:paraId="75EC918F">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2) 法定代表人证明书及授权委托书；</w:t>
      </w:r>
    </w:p>
    <w:p w14:paraId="272C3ED0">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3) 投标保证金交纳凭证；</w:t>
      </w:r>
    </w:p>
    <w:p w14:paraId="037B8784">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4) 法人营业执照扫描件；</w:t>
      </w:r>
    </w:p>
    <w:p w14:paraId="1153283C">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5) 投标报价表；</w:t>
      </w:r>
    </w:p>
    <w:p w14:paraId="7AB3FB7A">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6）其它见</w:t>
      </w:r>
      <w:r>
        <w:rPr>
          <w:rFonts w:hint="eastAsia"/>
          <w:snapToGrid w:val="0"/>
          <w:color w:val="auto"/>
          <w:highlight w:val="none"/>
        </w:rPr>
        <w:t>《投标人须知前附表》</w:t>
      </w:r>
      <w:r>
        <w:rPr>
          <w:rFonts w:hint="eastAsia"/>
          <w:b w:val="0"/>
          <w:bCs/>
          <w:snapToGrid w:val="0"/>
          <w:color w:val="auto"/>
          <w:highlight w:val="none"/>
        </w:rPr>
        <w:t>。</w:t>
      </w:r>
    </w:p>
    <w:p w14:paraId="7BFFB74F">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14.2资格证明文件必须真实有效，扫描件必须按招标文件要求盖章。</w:t>
      </w:r>
    </w:p>
    <w:p w14:paraId="37FBA2F1">
      <w:pPr>
        <w:pStyle w:val="13"/>
        <w:spacing w:before="0" w:beforeLines="0" w:after="0" w:afterLines="0"/>
        <w:rPr>
          <w:rFonts w:hint="eastAsia"/>
          <w:color w:val="auto"/>
          <w:highlight w:val="none"/>
        </w:rPr>
      </w:pPr>
      <w:r>
        <w:rPr>
          <w:rFonts w:hint="eastAsia"/>
          <w:color w:val="auto"/>
          <w:highlight w:val="none"/>
        </w:rPr>
        <w:t>15．证明投标标的的合格性和符合招标文件规定的文件：</w:t>
      </w:r>
    </w:p>
    <w:p w14:paraId="30B4888E">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15.1 在参加本次招标活动前三年内（具体起止时间见</w:t>
      </w:r>
      <w:r>
        <w:rPr>
          <w:rFonts w:hint="eastAsia" w:ascii="宋体" w:hAnsi="宋体"/>
          <w:b/>
          <w:bCs/>
          <w:color w:val="auto"/>
          <w:szCs w:val="21"/>
          <w:highlight w:val="none"/>
        </w:rPr>
        <w:t>《投标人须知前附表》</w:t>
      </w:r>
      <w:r>
        <w:rPr>
          <w:rFonts w:hint="eastAsia" w:ascii="宋体" w:hAnsi="宋体"/>
          <w:color w:val="auto"/>
          <w:szCs w:val="21"/>
          <w:highlight w:val="none"/>
        </w:rPr>
        <w:t>）在经营活动中没有重大违法记录的证明；</w:t>
      </w:r>
    </w:p>
    <w:p w14:paraId="52CD43BF">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15.2 在核定的经营范围内报价。</w:t>
      </w:r>
    </w:p>
    <w:p w14:paraId="374D12E2">
      <w:pPr>
        <w:pStyle w:val="13"/>
        <w:spacing w:before="0" w:beforeLines="0" w:after="0" w:afterLines="0"/>
        <w:rPr>
          <w:rFonts w:hint="eastAsia"/>
          <w:color w:val="auto"/>
          <w:highlight w:val="none"/>
        </w:rPr>
      </w:pPr>
      <w:r>
        <w:rPr>
          <w:rFonts w:hint="eastAsia"/>
          <w:color w:val="auto"/>
          <w:highlight w:val="none"/>
        </w:rPr>
        <w:t>16．投标保证金</w:t>
      </w:r>
    </w:p>
    <w:p w14:paraId="21F16AA2">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16.1投标人应按招标文件规定的金额和期限交纳投标保证金，投标保证金作为投标文件的组成部分。投标人与交款人名称必须一致，非投标人缴纳的报价保证金无效。</w:t>
      </w:r>
    </w:p>
    <w:p w14:paraId="737F89B4">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16.2投标保证金</w:t>
      </w:r>
      <w:r>
        <w:rPr>
          <w:rFonts w:hint="eastAsia" w:ascii="宋体" w:hAnsi="宋体"/>
          <w:color w:val="auto"/>
          <w:szCs w:val="21"/>
          <w:highlight w:val="none"/>
          <w:lang w:val="en-US" w:eastAsia="zh-CN"/>
        </w:rPr>
        <w:t>缴纳</w:t>
      </w:r>
      <w:r>
        <w:rPr>
          <w:rFonts w:hint="eastAsia" w:ascii="宋体" w:hAnsi="宋体"/>
          <w:color w:val="auto"/>
          <w:szCs w:val="21"/>
          <w:highlight w:val="none"/>
        </w:rPr>
        <w:t>形式：转账</w:t>
      </w:r>
      <w:r>
        <w:rPr>
          <w:rFonts w:hint="eastAsia" w:ascii="宋体" w:hAnsi="宋体"/>
          <w:color w:val="auto"/>
          <w:szCs w:val="21"/>
          <w:highlight w:val="none"/>
          <w:lang w:val="en-US" w:eastAsia="zh-CN"/>
        </w:rPr>
        <w:t>或</w:t>
      </w:r>
      <w:r>
        <w:rPr>
          <w:rFonts w:hint="eastAsia" w:ascii="宋体" w:hAnsi="宋体"/>
          <w:color w:val="auto"/>
          <w:szCs w:val="21"/>
          <w:highlight w:val="none"/>
        </w:rPr>
        <w:t>保函形式；</w:t>
      </w:r>
      <w:r>
        <w:rPr>
          <w:rFonts w:hint="eastAsia" w:ascii="宋体" w:hAnsi="宋体"/>
          <w:color w:val="auto"/>
          <w:szCs w:val="21"/>
          <w:highlight w:val="none"/>
          <w:lang w:val="en-US" w:eastAsia="zh-CN"/>
        </w:rPr>
        <w:t>缴纳</w:t>
      </w:r>
      <w:r>
        <w:rPr>
          <w:rFonts w:hint="eastAsia" w:ascii="宋体" w:hAnsi="宋体"/>
          <w:color w:val="auto"/>
          <w:szCs w:val="21"/>
          <w:highlight w:val="none"/>
        </w:rPr>
        <w:t>时间：转账形式提交的应在投标截止时间前到达</w:t>
      </w:r>
      <w:r>
        <w:rPr>
          <w:rFonts w:hint="eastAsia" w:ascii="宋体" w:hAnsi="宋体"/>
          <w:color w:val="auto"/>
          <w:szCs w:val="21"/>
          <w:highlight w:val="none"/>
          <w:lang w:eastAsia="zh-CN"/>
        </w:rPr>
        <w:t>招标人</w:t>
      </w:r>
      <w:r>
        <w:rPr>
          <w:rFonts w:hint="eastAsia" w:ascii="宋体" w:hAnsi="宋体"/>
          <w:color w:val="auto"/>
          <w:szCs w:val="21"/>
          <w:highlight w:val="none"/>
        </w:rPr>
        <w:t>账户。</w:t>
      </w:r>
    </w:p>
    <w:p w14:paraId="2470D7D9">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16.3投标人应向招标</w:t>
      </w:r>
      <w:r>
        <w:rPr>
          <w:rFonts w:hint="eastAsia" w:ascii="宋体" w:hAnsi="宋体"/>
          <w:color w:val="auto"/>
          <w:szCs w:val="21"/>
          <w:highlight w:val="none"/>
          <w:lang w:eastAsia="zh-CN"/>
        </w:rPr>
        <w:t>人</w:t>
      </w:r>
      <w:r>
        <w:rPr>
          <w:rFonts w:hint="eastAsia" w:ascii="宋体" w:hAnsi="宋体"/>
          <w:color w:val="auto"/>
          <w:szCs w:val="21"/>
          <w:highlight w:val="none"/>
        </w:rPr>
        <w:t>提交投标保证金，金额见</w:t>
      </w:r>
      <w:r>
        <w:rPr>
          <w:rFonts w:hint="eastAsia" w:ascii="宋体" w:hAnsi="宋体"/>
          <w:b/>
          <w:bCs/>
          <w:color w:val="auto"/>
          <w:szCs w:val="21"/>
          <w:highlight w:val="none"/>
        </w:rPr>
        <w:t>《投标人须知前附表》</w:t>
      </w:r>
      <w:r>
        <w:rPr>
          <w:rFonts w:hint="eastAsia" w:ascii="宋体" w:hAnsi="宋体"/>
          <w:color w:val="auto"/>
          <w:szCs w:val="21"/>
          <w:highlight w:val="none"/>
        </w:rPr>
        <w:t>。</w:t>
      </w:r>
      <w:r>
        <w:rPr>
          <w:rFonts w:ascii="宋体" w:hAnsi="宋体"/>
          <w:color w:val="auto"/>
          <w:szCs w:val="21"/>
          <w:highlight w:val="none"/>
        </w:rPr>
        <w:t xml:space="preserve"> </w:t>
      </w:r>
    </w:p>
    <w:p w14:paraId="7D02C19B">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16.4投标保证金应为人民币，可以选择下列方式中任何一种，在投标时将保证金递交凭证扫描提交：</w:t>
      </w:r>
    </w:p>
    <w:p w14:paraId="4E1A3581">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rPr>
        <w:t>1)</w:t>
      </w:r>
      <w:r>
        <w:rPr>
          <w:b w:val="0"/>
          <w:bCs/>
          <w:snapToGrid w:val="0"/>
          <w:color w:val="auto"/>
          <w:highlight w:val="none"/>
        </w:rPr>
        <w:t xml:space="preserve"> </w:t>
      </w:r>
      <w:r>
        <w:rPr>
          <w:rFonts w:hint="eastAsia"/>
          <w:b w:val="0"/>
          <w:bCs/>
          <w:snapToGrid w:val="0"/>
          <w:color w:val="auto"/>
          <w:highlight w:val="none"/>
        </w:rPr>
        <w:t>从投标人账户将投标保证金转入或汇入以下账户：</w:t>
      </w:r>
    </w:p>
    <w:p w14:paraId="73B3D73B">
      <w:pPr>
        <w:snapToGrid w:val="0"/>
        <w:spacing w:line="360" w:lineRule="auto"/>
        <w:ind w:left="900" w:leftChars="428" w:hanging="1"/>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收款人：广州广重企业集团有限公司</w:t>
      </w:r>
    </w:p>
    <w:p w14:paraId="2EAF6FF8">
      <w:pPr>
        <w:snapToGrid w:val="0"/>
        <w:spacing w:line="360" w:lineRule="auto"/>
        <w:ind w:left="900" w:leftChars="428" w:hanging="1"/>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开户行：中国工商银行同福中路支行</w:t>
      </w:r>
    </w:p>
    <w:p w14:paraId="03A3C54F">
      <w:pPr>
        <w:snapToGrid w:val="0"/>
        <w:spacing w:line="360" w:lineRule="auto"/>
        <w:ind w:left="900" w:leftChars="428" w:hanging="1"/>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账号：3602001109005828843</w:t>
      </w:r>
    </w:p>
    <w:p w14:paraId="0C46A4BD">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2</w:t>
      </w:r>
      <w:r>
        <w:rPr>
          <w:rFonts w:hint="eastAsia"/>
          <w:b w:val="0"/>
          <w:bCs/>
          <w:snapToGrid w:val="0"/>
          <w:color w:val="auto"/>
          <w:highlight w:val="none"/>
        </w:rPr>
        <w:t>)</w:t>
      </w:r>
      <w:r>
        <w:rPr>
          <w:b w:val="0"/>
          <w:bCs/>
          <w:snapToGrid w:val="0"/>
          <w:color w:val="auto"/>
          <w:highlight w:val="none"/>
        </w:rPr>
        <w:t xml:space="preserve"> </w:t>
      </w:r>
      <w:r>
        <w:rPr>
          <w:rFonts w:hint="eastAsia"/>
          <w:b w:val="0"/>
          <w:bCs/>
          <w:snapToGrid w:val="0"/>
          <w:color w:val="auto"/>
          <w:highlight w:val="none"/>
        </w:rPr>
        <w:t>用保函形式提交的：</w:t>
      </w:r>
    </w:p>
    <w:p w14:paraId="360B1E7E">
      <w:pPr>
        <w:snapToGrid w:val="0"/>
        <w:spacing w:line="360" w:lineRule="auto"/>
        <w:ind w:left="900" w:leftChars="428" w:hanging="1"/>
        <w:rPr>
          <w:rFonts w:hint="eastAsia" w:ascii="宋体" w:hAnsi="宋体"/>
          <w:color w:val="auto"/>
          <w:szCs w:val="21"/>
          <w:highlight w:val="none"/>
        </w:rPr>
      </w:pPr>
      <w:r>
        <w:rPr>
          <w:rFonts w:hint="eastAsia" w:ascii="宋体" w:hAnsi="宋体"/>
          <w:color w:val="auto"/>
          <w:szCs w:val="21"/>
          <w:highlight w:val="none"/>
        </w:rPr>
        <w:t>a.</w:t>
      </w:r>
      <w:r>
        <w:rPr>
          <w:rFonts w:hint="eastAsia"/>
          <w:color w:val="auto"/>
          <w:highlight w:val="none"/>
        </w:rPr>
        <w:t xml:space="preserve"> </w:t>
      </w:r>
      <w:r>
        <w:rPr>
          <w:rFonts w:hint="eastAsia" w:ascii="宋体" w:hAnsi="宋体"/>
          <w:color w:val="auto"/>
          <w:szCs w:val="21"/>
          <w:highlight w:val="none"/>
        </w:rPr>
        <w:t>采用招标文件提供的格式或</w:t>
      </w:r>
      <w:r>
        <w:rPr>
          <w:rFonts w:hint="eastAsia" w:ascii="宋体" w:hAnsi="宋体"/>
          <w:color w:val="auto"/>
          <w:szCs w:val="21"/>
          <w:highlight w:val="none"/>
          <w:lang w:eastAsia="zh-CN"/>
        </w:rPr>
        <w:t>招标人</w:t>
      </w:r>
      <w:r>
        <w:rPr>
          <w:rFonts w:hint="eastAsia" w:ascii="宋体" w:hAnsi="宋体"/>
          <w:color w:val="auto"/>
          <w:szCs w:val="21"/>
          <w:highlight w:val="none"/>
        </w:rPr>
        <w:t>接受的其他格式；</w:t>
      </w:r>
    </w:p>
    <w:p w14:paraId="2E5CD7C5">
      <w:pPr>
        <w:snapToGrid w:val="0"/>
        <w:spacing w:line="360" w:lineRule="auto"/>
        <w:ind w:left="900" w:leftChars="428" w:hanging="1"/>
        <w:rPr>
          <w:rFonts w:hint="eastAsia" w:ascii="宋体" w:hAnsi="宋体"/>
          <w:color w:val="auto"/>
          <w:szCs w:val="21"/>
          <w:highlight w:val="none"/>
        </w:rPr>
      </w:pPr>
      <w:r>
        <w:rPr>
          <w:rFonts w:hint="eastAsia" w:ascii="宋体" w:hAnsi="宋体"/>
          <w:color w:val="auto"/>
          <w:szCs w:val="21"/>
          <w:highlight w:val="none"/>
        </w:rPr>
        <w:t>b.</w:t>
      </w:r>
      <w:r>
        <w:rPr>
          <w:rFonts w:ascii="Times New Roman" w:hAnsi="Times New Roman"/>
          <w:color w:val="auto"/>
          <w:kern w:val="0"/>
          <w:szCs w:val="20"/>
          <w:highlight w:val="none"/>
        </w:rPr>
        <w:t xml:space="preserve"> </w:t>
      </w:r>
      <w:r>
        <w:rPr>
          <w:rFonts w:hint="eastAsia" w:ascii="Times New Roman" w:hAnsi="Times New Roman"/>
          <w:color w:val="auto"/>
          <w:kern w:val="0"/>
          <w:szCs w:val="20"/>
          <w:highlight w:val="none"/>
        </w:rPr>
        <w:t>银行保函须</w:t>
      </w:r>
      <w:r>
        <w:rPr>
          <w:rFonts w:ascii="宋体" w:hAnsi="宋体"/>
          <w:color w:val="auto"/>
          <w:szCs w:val="21"/>
          <w:highlight w:val="none"/>
        </w:rPr>
        <w:t>由中华人民共和国境内的银行出具；</w:t>
      </w:r>
    </w:p>
    <w:p w14:paraId="738C9502">
      <w:pPr>
        <w:snapToGrid w:val="0"/>
        <w:spacing w:line="360" w:lineRule="auto"/>
        <w:ind w:left="900" w:leftChars="428" w:hanging="1"/>
        <w:rPr>
          <w:rFonts w:hint="eastAsia" w:ascii="宋体" w:hAnsi="宋体"/>
          <w:color w:val="auto"/>
          <w:szCs w:val="21"/>
          <w:highlight w:val="none"/>
        </w:rPr>
      </w:pPr>
      <w:r>
        <w:rPr>
          <w:rFonts w:hint="eastAsia" w:ascii="宋体" w:hAnsi="宋体"/>
          <w:color w:val="auto"/>
          <w:szCs w:val="21"/>
          <w:highlight w:val="none"/>
        </w:rPr>
        <w:t>c.</w:t>
      </w:r>
      <w:r>
        <w:rPr>
          <w:rFonts w:ascii="Times New Roman" w:hAnsi="Times New Roman"/>
          <w:color w:val="auto"/>
          <w:kern w:val="0"/>
          <w:szCs w:val="20"/>
          <w:highlight w:val="none"/>
        </w:rPr>
        <w:t xml:space="preserve"> </w:t>
      </w:r>
      <w:r>
        <w:rPr>
          <w:rFonts w:ascii="宋体" w:hAnsi="宋体"/>
          <w:color w:val="auto"/>
          <w:szCs w:val="21"/>
          <w:highlight w:val="none"/>
        </w:rPr>
        <w:t>有效期</w:t>
      </w:r>
      <w:r>
        <w:rPr>
          <w:rFonts w:hint="eastAsia" w:ascii="宋体" w:hAnsi="宋体"/>
          <w:color w:val="auto"/>
          <w:szCs w:val="21"/>
          <w:highlight w:val="none"/>
        </w:rPr>
        <w:t>不得少于</w:t>
      </w:r>
      <w:r>
        <w:rPr>
          <w:rFonts w:ascii="宋体" w:hAnsi="宋体"/>
          <w:color w:val="auto"/>
          <w:szCs w:val="21"/>
          <w:highlight w:val="none"/>
        </w:rPr>
        <w:t>投标有效期。</w:t>
      </w:r>
    </w:p>
    <w:p w14:paraId="131D659B">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16.5凡未按规定交纳投标保证金的投标，为无效投标。</w:t>
      </w:r>
    </w:p>
    <w:p w14:paraId="6CA5BF35">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16.6投标保证金退还</w:t>
      </w:r>
    </w:p>
    <w:p w14:paraId="14467698">
      <w:pPr>
        <w:pStyle w:val="13"/>
        <w:spacing w:before="0" w:beforeLines="0" w:after="0" w:afterLines="0"/>
        <w:ind w:left="424" w:leftChars="202"/>
        <w:outlineLvl w:val="9"/>
        <w:rPr>
          <w:rFonts w:hint="eastAsia" w:ascii="宋体" w:hAnsi="宋体" w:eastAsia="宋体" w:cs="Times New Roman"/>
          <w:b w:val="0"/>
          <w:color w:val="auto"/>
          <w:kern w:val="2"/>
          <w:sz w:val="21"/>
          <w:szCs w:val="21"/>
          <w:highlight w:val="none"/>
          <w:lang w:val="en-US" w:eastAsia="zh-CN" w:bidi="ar-SA"/>
        </w:rPr>
      </w:pPr>
      <w:r>
        <w:rPr>
          <w:rFonts w:hint="eastAsia" w:ascii="宋体" w:hAnsi="宋体" w:eastAsia="宋体" w:cs="Times New Roman"/>
          <w:b w:val="0"/>
          <w:color w:val="auto"/>
          <w:kern w:val="2"/>
          <w:sz w:val="21"/>
          <w:szCs w:val="21"/>
          <w:highlight w:val="none"/>
          <w:lang w:val="en-US" w:eastAsia="zh-CN" w:bidi="ar-SA"/>
        </w:rPr>
        <w:t>招标人将在合同签订后的20个工作日内将投标保证金以转账形式无息退还投标人。</w:t>
      </w:r>
    </w:p>
    <w:p w14:paraId="7F7F8778">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16.7有下列情形之一的，投标保证金将被</w:t>
      </w:r>
      <w:r>
        <w:rPr>
          <w:rFonts w:hint="eastAsia"/>
          <w:color w:val="auto"/>
          <w:highlight w:val="none"/>
        </w:rPr>
        <w:t>不予退还</w:t>
      </w:r>
      <w:r>
        <w:rPr>
          <w:rFonts w:hint="eastAsia" w:ascii="宋体" w:hAnsi="宋体"/>
          <w:color w:val="auto"/>
          <w:szCs w:val="21"/>
          <w:highlight w:val="none"/>
        </w:rPr>
        <w:t>：</w:t>
      </w:r>
    </w:p>
    <w:p w14:paraId="1DB7F5BE">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1</w:t>
      </w:r>
      <w:r>
        <w:rPr>
          <w:rFonts w:hint="eastAsia"/>
          <w:b w:val="0"/>
          <w:bCs/>
          <w:snapToGrid w:val="0"/>
          <w:color w:val="auto"/>
          <w:highlight w:val="none"/>
        </w:rPr>
        <w:t>）中标后无正当理由放弃中标或不与招标人签订合同的；</w:t>
      </w:r>
    </w:p>
    <w:p w14:paraId="67725FE9">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2</w:t>
      </w:r>
      <w:r>
        <w:rPr>
          <w:rFonts w:hint="eastAsia"/>
          <w:b w:val="0"/>
          <w:bCs/>
          <w:snapToGrid w:val="0"/>
          <w:color w:val="auto"/>
          <w:highlight w:val="none"/>
        </w:rPr>
        <w:t>）在签订合同时向招标人提出附加条件；</w:t>
      </w:r>
    </w:p>
    <w:p w14:paraId="3EBFE884">
      <w:pPr>
        <w:pStyle w:val="13"/>
        <w:spacing w:before="0" w:beforeLines="0" w:after="0" w:afterLines="0"/>
        <w:ind w:left="424" w:leftChars="202"/>
        <w:outlineLvl w:val="9"/>
        <w:rPr>
          <w:rFonts w:hint="eastAsia"/>
          <w:b w:val="0"/>
          <w:bCs/>
          <w:snapToGrid w:val="0"/>
          <w:color w:val="auto"/>
          <w:highlight w:val="none"/>
        </w:rPr>
      </w:pPr>
      <w:r>
        <w:rPr>
          <w:rFonts w:hint="eastAsia"/>
          <w:b w:val="0"/>
          <w:bCs/>
          <w:snapToGrid w:val="0"/>
          <w:color w:val="auto"/>
          <w:highlight w:val="none"/>
          <w:lang w:val="en-US" w:eastAsia="zh-CN"/>
        </w:rPr>
        <w:t>3</w:t>
      </w:r>
      <w:r>
        <w:rPr>
          <w:rFonts w:hint="eastAsia"/>
          <w:b w:val="0"/>
          <w:bCs/>
          <w:snapToGrid w:val="0"/>
          <w:color w:val="auto"/>
          <w:highlight w:val="none"/>
        </w:rPr>
        <w:t>) 法律法规规定的其他情形。</w:t>
      </w:r>
    </w:p>
    <w:p w14:paraId="50FD097B">
      <w:pPr>
        <w:pStyle w:val="13"/>
        <w:spacing w:before="0" w:beforeLines="0" w:after="0" w:afterLines="0"/>
        <w:rPr>
          <w:rFonts w:hint="eastAsia"/>
          <w:color w:val="auto"/>
          <w:highlight w:val="none"/>
        </w:rPr>
      </w:pPr>
      <w:r>
        <w:rPr>
          <w:rFonts w:hint="eastAsia"/>
          <w:color w:val="auto"/>
          <w:highlight w:val="none"/>
        </w:rPr>
        <w:t>17．投标的截止期、投标有效期</w:t>
      </w:r>
    </w:p>
    <w:p w14:paraId="1A698FCA">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17.1 投标的截止时间为</w:t>
      </w:r>
      <w:r>
        <w:rPr>
          <w:rFonts w:hint="eastAsia" w:ascii="宋体" w:hAnsi="宋体"/>
          <w:b/>
          <w:bCs/>
          <w:color w:val="auto"/>
          <w:szCs w:val="21"/>
          <w:highlight w:val="none"/>
        </w:rPr>
        <w:t>《投标人须知前附表》</w:t>
      </w:r>
      <w:r>
        <w:rPr>
          <w:rFonts w:hint="eastAsia" w:ascii="宋体" w:hAnsi="宋体"/>
          <w:color w:val="auto"/>
          <w:szCs w:val="21"/>
          <w:highlight w:val="none"/>
        </w:rPr>
        <w:t>规定时间，在截止时间后送达或者未送达指定地点的投标文件，为无效投标文件，招标</w:t>
      </w:r>
      <w:r>
        <w:rPr>
          <w:rFonts w:hint="eastAsia" w:ascii="宋体" w:hAnsi="宋体"/>
          <w:color w:val="auto"/>
          <w:szCs w:val="21"/>
          <w:highlight w:val="none"/>
          <w:lang w:eastAsia="zh-CN"/>
        </w:rPr>
        <w:t>人</w:t>
      </w:r>
      <w:r>
        <w:rPr>
          <w:rFonts w:hint="eastAsia" w:ascii="宋体" w:hAnsi="宋体"/>
          <w:color w:val="auto"/>
          <w:szCs w:val="21"/>
          <w:highlight w:val="none"/>
        </w:rPr>
        <w:t>将拒收。</w:t>
      </w:r>
    </w:p>
    <w:p w14:paraId="479D6795">
      <w:pPr>
        <w:adjustRightInd w:val="0"/>
        <w:snapToGrid w:val="0"/>
        <w:spacing w:line="360" w:lineRule="auto"/>
        <w:ind w:left="476" w:hanging="476"/>
        <w:rPr>
          <w:rFonts w:hint="eastAsia" w:ascii="宋体" w:hAnsi="宋体"/>
          <w:color w:val="auto"/>
          <w:szCs w:val="21"/>
          <w:highlight w:val="none"/>
        </w:rPr>
      </w:pPr>
      <w:r>
        <w:rPr>
          <w:rFonts w:hint="eastAsia" w:ascii="宋体" w:hAnsi="宋体"/>
          <w:color w:val="auto"/>
          <w:szCs w:val="21"/>
          <w:highlight w:val="none"/>
        </w:rPr>
        <w:t>17.2 从投标截止日起，投标有效期为</w:t>
      </w:r>
      <w:r>
        <w:rPr>
          <w:rFonts w:hint="eastAsia" w:ascii="宋体" w:hAnsi="宋体"/>
          <w:b/>
          <w:bCs/>
          <w:color w:val="auto"/>
          <w:szCs w:val="21"/>
          <w:highlight w:val="none"/>
        </w:rPr>
        <w:t>《投标人须知前附表》</w:t>
      </w:r>
      <w:r>
        <w:rPr>
          <w:rFonts w:hint="eastAsia" w:ascii="宋体" w:hAnsi="宋体"/>
          <w:color w:val="auto"/>
          <w:szCs w:val="21"/>
          <w:highlight w:val="none"/>
        </w:rPr>
        <w:t>规定天数。在特殊情况下，</w:t>
      </w:r>
      <w:r>
        <w:rPr>
          <w:rFonts w:hint="eastAsia" w:ascii="宋体" w:hAnsi="宋体"/>
          <w:color w:val="auto"/>
          <w:szCs w:val="21"/>
          <w:highlight w:val="none"/>
          <w:lang w:eastAsia="zh-CN"/>
        </w:rPr>
        <w:t>招标人</w:t>
      </w:r>
      <w:r>
        <w:rPr>
          <w:rFonts w:hint="eastAsia" w:ascii="宋体" w:hAnsi="宋体"/>
          <w:color w:val="auto"/>
          <w:szCs w:val="21"/>
          <w:highlight w:val="none"/>
        </w:rPr>
        <w:t>可于投标有效期满之前要求投标人同意延长有效期，要求与答复均应以书面形式。投标人可以拒绝上述要求而其投标保证金予以退还，同意延期的投标人在原投标有效期内应享之权利及应负之责任也相应延续。</w:t>
      </w:r>
    </w:p>
    <w:p w14:paraId="75924E20">
      <w:pPr>
        <w:pStyle w:val="13"/>
        <w:rPr>
          <w:rFonts w:hint="eastAsia"/>
          <w:color w:val="auto"/>
          <w:highlight w:val="none"/>
        </w:rPr>
      </w:pPr>
      <w:r>
        <w:rPr>
          <w:rFonts w:hint="eastAsia"/>
          <w:color w:val="auto"/>
          <w:highlight w:val="none"/>
        </w:rPr>
        <w:t>四、投标文件的递交</w:t>
      </w:r>
    </w:p>
    <w:p w14:paraId="08DE4DF8">
      <w:pPr>
        <w:keepNext w:val="0"/>
        <w:keepLines w:val="0"/>
        <w:pageBreakBefore w:val="0"/>
        <w:widowControl w:val="0"/>
        <w:kinsoku/>
        <w:wordWrap/>
        <w:overflowPunct/>
        <w:topLinePunct w:val="0"/>
        <w:autoSpaceDE/>
        <w:autoSpaceDN/>
        <w:bidi w:val="0"/>
        <w:spacing w:line="360" w:lineRule="auto"/>
        <w:textAlignment w:val="auto"/>
      </w:pPr>
      <w:r>
        <w:rPr>
          <w:rFonts w:hint="eastAsia" w:ascii="宋体" w:hAnsi="宋体"/>
          <w:color w:val="auto"/>
          <w:szCs w:val="21"/>
          <w:highlight w:val="none"/>
        </w:rPr>
        <w:t>1</w:t>
      </w:r>
      <w:r>
        <w:rPr>
          <w:rFonts w:hint="eastAsia" w:ascii="宋体" w:hAnsi="宋体"/>
          <w:color w:val="auto"/>
          <w:szCs w:val="21"/>
          <w:highlight w:val="none"/>
          <w:lang w:val="en-US" w:eastAsia="zh-CN"/>
        </w:rPr>
        <w:t>8</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t>投标文件应用不褪色的材料书写或打印并加盖投标人公章。投标人存在相关授权委托人的，投标文件应附由法定代表人签署的授权委托书；</w:t>
      </w:r>
    </w:p>
    <w:p w14:paraId="06CE7B73">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rPr>
        <w:t>1</w:t>
      </w:r>
      <w:r>
        <w:rPr>
          <w:rFonts w:hint="eastAsia" w:ascii="宋体" w:hAnsi="宋体"/>
          <w:color w:val="auto"/>
          <w:szCs w:val="21"/>
          <w:highlight w:val="none"/>
          <w:lang w:val="en-US" w:eastAsia="zh-CN"/>
        </w:rPr>
        <w:t>8</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2 </w:t>
      </w:r>
      <w:r>
        <w:rPr>
          <w:rFonts w:hint="eastAsia"/>
        </w:rPr>
        <w:t>投标文件一正一副，投标文件的正本和副本的封面上应清楚地标记“正本”或“副本”的字样。当副本和正本不一致时，以正本为准。投标文件的正本与副本应分别装订成册，各册独立装订的投标文件均采用不易松散的书式装订；</w:t>
      </w:r>
    </w:p>
    <w:p w14:paraId="185B8714">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rPr>
        <w:t>1</w:t>
      </w:r>
      <w:r>
        <w:rPr>
          <w:rFonts w:hint="eastAsia" w:ascii="宋体" w:hAnsi="宋体"/>
          <w:color w:val="auto"/>
          <w:szCs w:val="21"/>
          <w:highlight w:val="none"/>
          <w:lang w:val="en-US" w:eastAsia="zh-CN"/>
        </w:rPr>
        <w:t>8</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3 </w:t>
      </w:r>
      <w:r>
        <w:rPr>
          <w:rFonts w:hint="eastAsia"/>
        </w:rPr>
        <w:t>投标文件的规格：投标文件封面应列明项目名称、招标人名称，投标文件封面必须加盖投标人法定印章，并经法定代表人或授权委托人签字盖章。使用电子版投标文件的</w:t>
      </w:r>
      <w:r>
        <w:rPr>
          <w:rFonts w:hint="eastAsia"/>
          <w:lang w:eastAsia="zh-CN"/>
        </w:rPr>
        <w:t>（</w:t>
      </w:r>
      <w:r>
        <w:rPr>
          <w:rFonts w:hint="eastAsia"/>
          <w:lang w:val="en-US" w:eastAsia="zh-CN"/>
        </w:rPr>
        <w:t>投标人自行决定</w:t>
      </w:r>
      <w:r>
        <w:rPr>
          <w:rFonts w:hint="eastAsia"/>
          <w:lang w:eastAsia="zh-CN"/>
        </w:rPr>
        <w:t>）</w:t>
      </w:r>
      <w:r>
        <w:rPr>
          <w:rFonts w:hint="eastAsia"/>
        </w:rPr>
        <w:t>，应以U 盘（或光盘）的形式密封在不透明的信封中加盖投标人法定印章；</w:t>
      </w:r>
    </w:p>
    <w:p w14:paraId="1F7C1BAC">
      <w:pPr>
        <w:keepNext w:val="0"/>
        <w:keepLines w:val="0"/>
        <w:pageBreakBefore w:val="0"/>
        <w:widowControl w:val="0"/>
        <w:kinsoku/>
        <w:wordWrap/>
        <w:overflowPunct/>
        <w:topLinePunct w:val="0"/>
        <w:autoSpaceDE/>
        <w:autoSpaceDN/>
        <w:bidi w:val="0"/>
        <w:spacing w:line="360" w:lineRule="auto"/>
        <w:textAlignment w:val="auto"/>
        <w:rPr>
          <w:rFonts w:hint="eastAsia" w:ascii="微软雅黑" w:hAnsi="微软雅黑" w:eastAsia="微软雅黑" w:cs="微软雅黑"/>
          <w:i w:val="0"/>
          <w:iCs w:val="0"/>
          <w:caps w:val="0"/>
          <w:color w:val="333333"/>
          <w:spacing w:val="0"/>
          <w:szCs w:val="21"/>
        </w:rPr>
      </w:pPr>
      <w:r>
        <w:rPr>
          <w:rFonts w:hint="eastAsia" w:ascii="宋体" w:hAnsi="宋体"/>
          <w:color w:val="auto"/>
          <w:szCs w:val="21"/>
          <w:highlight w:val="none"/>
        </w:rPr>
        <w:t>1</w:t>
      </w:r>
      <w:r>
        <w:rPr>
          <w:rFonts w:hint="eastAsia" w:ascii="宋体" w:hAnsi="宋体"/>
          <w:color w:val="auto"/>
          <w:szCs w:val="21"/>
          <w:highlight w:val="none"/>
          <w:lang w:val="en-US" w:eastAsia="zh-CN"/>
        </w:rPr>
        <w:t>8</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4 </w:t>
      </w:r>
      <w:r>
        <w:rPr>
          <w:rFonts w:hint="eastAsia"/>
        </w:rPr>
        <w:t>投标文件的密封要求：投标人应确保投标文件密闭封装，外包装材料不应留有可在包封后添加或抽取投标文件的空隙。</w:t>
      </w:r>
    </w:p>
    <w:p w14:paraId="45DB0032">
      <w:pPr>
        <w:pStyle w:val="13"/>
        <w:keepNext w:val="0"/>
        <w:keepLines w:val="0"/>
        <w:pageBreakBefore w:val="0"/>
        <w:widowControl w:val="0"/>
        <w:kinsoku/>
        <w:wordWrap/>
        <w:overflowPunct/>
        <w:topLinePunct w:val="0"/>
        <w:autoSpaceDE/>
        <w:autoSpaceDN/>
        <w:bidi w:val="0"/>
        <w:spacing w:line="360" w:lineRule="auto"/>
        <w:textAlignment w:val="auto"/>
        <w:rPr>
          <w:rFonts w:hint="eastAsia"/>
          <w:color w:val="auto"/>
          <w:highlight w:val="none"/>
        </w:rPr>
      </w:pPr>
      <w:r>
        <w:rPr>
          <w:rFonts w:hint="eastAsia"/>
          <w:color w:val="auto"/>
          <w:highlight w:val="none"/>
        </w:rPr>
        <w:t>五、开标、评标定标</w:t>
      </w:r>
    </w:p>
    <w:p w14:paraId="202EBEEA">
      <w:pPr>
        <w:keepNext w:val="0"/>
        <w:keepLines w:val="0"/>
        <w:pageBreakBefore w:val="0"/>
        <w:widowControl w:val="0"/>
        <w:kinsoku/>
        <w:wordWrap/>
        <w:overflowPunct/>
        <w:topLinePunct w:val="0"/>
        <w:autoSpaceDE/>
        <w:autoSpaceDN/>
        <w:bidi w:val="0"/>
        <w:spacing w:line="360" w:lineRule="auto"/>
        <w:textAlignment w:val="auto"/>
        <w:rPr>
          <w:rFonts w:hint="eastAsia"/>
          <w:b/>
          <w:bCs/>
        </w:rPr>
      </w:pPr>
      <w:r>
        <w:rPr>
          <w:rFonts w:hint="eastAsia"/>
          <w:b/>
          <w:bCs/>
          <w:lang w:val="en-US" w:eastAsia="zh-CN"/>
        </w:rPr>
        <w:t xml:space="preserve">19 </w:t>
      </w:r>
      <w:r>
        <w:rPr>
          <w:rFonts w:hint="eastAsia"/>
          <w:b/>
          <w:bCs/>
        </w:rPr>
        <w:t>开标</w:t>
      </w:r>
    </w:p>
    <w:p w14:paraId="239BB79B">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rPr>
        <w:t>1</w:t>
      </w:r>
      <w:r>
        <w:rPr>
          <w:rFonts w:hint="eastAsia" w:ascii="宋体" w:hAnsi="宋体"/>
          <w:color w:val="auto"/>
          <w:szCs w:val="21"/>
          <w:highlight w:val="none"/>
          <w:lang w:val="en-US" w:eastAsia="zh-CN"/>
        </w:rPr>
        <w:t>9</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rPr>
          <w:rFonts w:hint="eastAsia"/>
          <w:lang w:eastAsia="zh-CN"/>
        </w:rPr>
        <w:t>招标人</w:t>
      </w:r>
      <w:r>
        <w:rPr>
          <w:rFonts w:hint="eastAsia"/>
        </w:rPr>
        <w:t>按规定的时间和地点开标。提交撤回通知的</w:t>
      </w:r>
      <w:r>
        <w:rPr>
          <w:rFonts w:hint="eastAsia"/>
          <w:lang w:eastAsia="zh-CN"/>
        </w:rPr>
        <w:t>投标文件</w:t>
      </w:r>
      <w:r>
        <w:rPr>
          <w:rFonts w:hint="eastAsia"/>
        </w:rPr>
        <w:t>不予开封，并退回给</w:t>
      </w:r>
      <w:r>
        <w:rPr>
          <w:rFonts w:hint="eastAsia"/>
          <w:lang w:eastAsia="zh-CN"/>
        </w:rPr>
        <w:t>投标人</w:t>
      </w:r>
      <w:r>
        <w:rPr>
          <w:rFonts w:hint="eastAsia"/>
        </w:rPr>
        <w:t>。</w:t>
      </w:r>
    </w:p>
    <w:p w14:paraId="3E741DB8">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rPr>
        <w:t>1</w:t>
      </w:r>
      <w:r>
        <w:rPr>
          <w:rFonts w:hint="eastAsia" w:ascii="宋体" w:hAnsi="宋体"/>
          <w:color w:val="auto"/>
          <w:szCs w:val="21"/>
          <w:highlight w:val="none"/>
          <w:lang w:val="en-US" w:eastAsia="zh-CN"/>
        </w:rPr>
        <w:t>9</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2 </w:t>
      </w:r>
      <w:r>
        <w:rPr>
          <w:rFonts w:hint="eastAsia"/>
          <w:lang w:val="en-US" w:eastAsia="zh-CN"/>
        </w:rPr>
        <w:t>经办人介绍项目基本情况。</w:t>
      </w:r>
      <w:r>
        <w:rPr>
          <w:rFonts w:hint="eastAsia"/>
        </w:rPr>
        <w:t>按要求提交</w:t>
      </w:r>
      <w:r>
        <w:rPr>
          <w:rFonts w:hint="eastAsia"/>
          <w:lang w:eastAsia="zh-CN"/>
        </w:rPr>
        <w:t>投标文件</w:t>
      </w:r>
      <w:r>
        <w:rPr>
          <w:rFonts w:hint="eastAsia"/>
        </w:rPr>
        <w:t>的，</w:t>
      </w:r>
      <w:r>
        <w:rPr>
          <w:rFonts w:hint="eastAsia"/>
          <w:lang w:val="en-US" w:eastAsia="zh-CN"/>
        </w:rPr>
        <w:t>评标小组</w:t>
      </w:r>
      <w:r>
        <w:rPr>
          <w:rFonts w:hint="eastAsia"/>
        </w:rPr>
        <w:t>检查</w:t>
      </w:r>
      <w:r>
        <w:rPr>
          <w:rFonts w:hint="eastAsia"/>
          <w:lang w:eastAsia="zh-CN"/>
        </w:rPr>
        <w:t>投标文件</w:t>
      </w:r>
      <w:r>
        <w:rPr>
          <w:rFonts w:hint="eastAsia"/>
        </w:rPr>
        <w:t>的包封、标记和密封情况</w:t>
      </w:r>
      <w:r>
        <w:rPr>
          <w:rFonts w:hint="eastAsia"/>
          <w:lang w:eastAsia="zh-CN"/>
        </w:rPr>
        <w:t>，</w:t>
      </w:r>
      <w:r>
        <w:rPr>
          <w:rFonts w:hint="eastAsia"/>
        </w:rPr>
        <w:t>开标时当众予以拆封、宣读。</w:t>
      </w:r>
    </w:p>
    <w:p w14:paraId="6C4AB57A">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rPr>
        <w:t>1</w:t>
      </w:r>
      <w:r>
        <w:rPr>
          <w:rFonts w:hint="eastAsia" w:ascii="宋体" w:hAnsi="宋体"/>
          <w:color w:val="auto"/>
          <w:szCs w:val="21"/>
          <w:highlight w:val="none"/>
          <w:lang w:val="en-US" w:eastAsia="zh-CN"/>
        </w:rPr>
        <w:t>9</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3 </w:t>
      </w:r>
      <w:r>
        <w:rPr>
          <w:rFonts w:hint="eastAsia"/>
        </w:rPr>
        <w:t>经确认无误后，</w:t>
      </w:r>
      <w:r>
        <w:rPr>
          <w:rFonts w:hint="eastAsia"/>
          <w:lang w:val="en-US" w:eastAsia="zh-CN"/>
        </w:rPr>
        <w:t>评标小组根据</w:t>
      </w:r>
      <w:r>
        <w:rPr>
          <w:rFonts w:hint="eastAsia"/>
          <w:lang w:eastAsia="zh-CN"/>
        </w:rPr>
        <w:t>投标</w:t>
      </w:r>
      <w:r>
        <w:rPr>
          <w:rFonts w:hint="eastAsia"/>
          <w:lang w:val="en-US" w:eastAsia="zh-CN"/>
        </w:rPr>
        <w:t>文件按评分表要求进行综合评分</w:t>
      </w:r>
      <w:r>
        <w:rPr>
          <w:rFonts w:hint="eastAsia"/>
        </w:rPr>
        <w:t>并予以记录。</w:t>
      </w:r>
    </w:p>
    <w:p w14:paraId="77DB27FD">
      <w:pPr>
        <w:keepNext w:val="0"/>
        <w:keepLines w:val="0"/>
        <w:pageBreakBefore w:val="0"/>
        <w:widowControl w:val="0"/>
        <w:kinsoku/>
        <w:wordWrap/>
        <w:overflowPunct/>
        <w:topLinePunct w:val="0"/>
        <w:autoSpaceDE/>
        <w:autoSpaceDN/>
        <w:bidi w:val="0"/>
        <w:spacing w:line="360" w:lineRule="auto"/>
        <w:textAlignment w:val="auto"/>
        <w:rPr>
          <w:rFonts w:hint="eastAsia"/>
          <w:b/>
          <w:bCs/>
          <w:lang w:val="en-US" w:eastAsia="zh-CN"/>
        </w:rPr>
      </w:pPr>
      <w:r>
        <w:rPr>
          <w:rFonts w:hint="eastAsia"/>
          <w:b/>
          <w:bCs/>
          <w:lang w:val="en-US" w:eastAsia="zh-CN"/>
        </w:rPr>
        <w:t xml:space="preserve">20 </w:t>
      </w:r>
      <w:r>
        <w:rPr>
          <w:rFonts w:hint="eastAsia"/>
          <w:b/>
          <w:bCs/>
        </w:rPr>
        <w:t>评</w:t>
      </w:r>
      <w:r>
        <w:rPr>
          <w:rFonts w:hint="eastAsia"/>
          <w:b/>
          <w:bCs/>
          <w:lang w:val="en-US" w:eastAsia="zh-CN"/>
        </w:rPr>
        <w:t>标小组组成</w:t>
      </w:r>
    </w:p>
    <w:p w14:paraId="35D3294C">
      <w:pPr>
        <w:keepNext w:val="0"/>
        <w:keepLines w:val="0"/>
        <w:pageBreakBefore w:val="0"/>
        <w:widowControl w:val="0"/>
        <w:kinsoku/>
        <w:wordWrap/>
        <w:overflowPunct/>
        <w:topLinePunct w:val="0"/>
        <w:autoSpaceDE/>
        <w:autoSpaceDN/>
        <w:bidi w:val="0"/>
        <w:spacing w:line="360" w:lineRule="auto"/>
        <w:textAlignment w:val="auto"/>
        <w:rPr>
          <w:rFonts w:hint="eastAsia"/>
          <w:lang w:val="en-US" w:eastAsia="zh-CN"/>
        </w:rPr>
      </w:pPr>
      <w:r>
        <w:rPr>
          <w:rFonts w:hint="eastAsia" w:ascii="宋体" w:hAnsi="宋体"/>
          <w:color w:val="auto"/>
          <w:szCs w:val="21"/>
          <w:highlight w:val="none"/>
          <w:lang w:val="en-US" w:eastAsia="zh-CN"/>
        </w:rPr>
        <w:t>20</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rPr>
          <w:rFonts w:hint="eastAsia"/>
        </w:rPr>
        <w:t>评</w:t>
      </w:r>
      <w:r>
        <w:rPr>
          <w:rFonts w:hint="eastAsia"/>
          <w:lang w:val="en-US" w:eastAsia="zh-CN"/>
        </w:rPr>
        <w:t>标小组</w:t>
      </w:r>
      <w:r>
        <w:rPr>
          <w:rFonts w:hint="eastAsia"/>
        </w:rPr>
        <w:t>由</w:t>
      </w:r>
      <w:r>
        <w:rPr>
          <w:rFonts w:hint="eastAsia"/>
          <w:lang w:val="en-US" w:eastAsia="zh-CN"/>
        </w:rPr>
        <w:t>招标工作组按照招标管理办法抽取评标人员组成。</w:t>
      </w:r>
    </w:p>
    <w:p w14:paraId="5D1956D9">
      <w:pPr>
        <w:keepNext w:val="0"/>
        <w:keepLines w:val="0"/>
        <w:pageBreakBefore w:val="0"/>
        <w:widowControl w:val="0"/>
        <w:kinsoku/>
        <w:wordWrap/>
        <w:overflowPunct/>
        <w:topLinePunct w:val="0"/>
        <w:autoSpaceDE/>
        <w:autoSpaceDN/>
        <w:bidi w:val="0"/>
        <w:spacing w:line="360" w:lineRule="auto"/>
        <w:textAlignment w:val="auto"/>
        <w:rPr>
          <w:rFonts w:hint="default"/>
          <w:lang w:val="en-US"/>
        </w:rPr>
      </w:pPr>
      <w:r>
        <w:rPr>
          <w:rFonts w:hint="eastAsia"/>
          <w:b/>
          <w:bCs/>
          <w:lang w:val="en-US" w:eastAsia="zh-CN"/>
        </w:rPr>
        <w:t xml:space="preserve">21 </w:t>
      </w:r>
      <w:r>
        <w:rPr>
          <w:rFonts w:hint="eastAsia"/>
          <w:b/>
          <w:bCs/>
          <w:lang w:eastAsia="zh-CN"/>
        </w:rPr>
        <w:t>评标</w:t>
      </w:r>
      <w:r>
        <w:rPr>
          <w:rFonts w:hint="eastAsia"/>
          <w:b/>
          <w:bCs/>
          <w:lang w:val="en-US" w:eastAsia="zh-CN"/>
        </w:rPr>
        <w:t>程序</w:t>
      </w:r>
    </w:p>
    <w:p w14:paraId="1D76629B">
      <w:pPr>
        <w:keepNext w:val="0"/>
        <w:keepLines w:val="0"/>
        <w:pageBreakBefore w:val="0"/>
        <w:widowControl w:val="0"/>
        <w:kinsoku/>
        <w:wordWrap/>
        <w:overflowPunct/>
        <w:topLinePunct w:val="0"/>
        <w:autoSpaceDE/>
        <w:autoSpaceDN/>
        <w:bidi w:val="0"/>
        <w:spacing w:line="360" w:lineRule="auto"/>
        <w:textAlignment w:val="auto"/>
        <w:rPr>
          <w:rFonts w:hint="default"/>
          <w:b/>
          <w:bCs/>
          <w:lang w:val="en-US" w:eastAsia="zh-CN"/>
        </w:rPr>
      </w:pPr>
      <w:r>
        <w:rPr>
          <w:rFonts w:hint="eastAsia"/>
          <w:b w:val="0"/>
          <w:bCs w:val="0"/>
          <w:lang w:val="en-US" w:eastAsia="zh-CN"/>
        </w:rPr>
        <w:t>21.1</w:t>
      </w:r>
      <w:r>
        <w:rPr>
          <w:rFonts w:hint="eastAsia"/>
          <w:b/>
          <w:bCs/>
          <w:lang w:val="en-US" w:eastAsia="zh-CN"/>
        </w:rPr>
        <w:t xml:space="preserve"> </w:t>
      </w:r>
      <w:r>
        <w:rPr>
          <w:rFonts w:hint="eastAsia" w:ascii="宋体" w:hAnsi="宋体" w:eastAsia="宋体" w:cs="Times New Roman"/>
          <w:b w:val="0"/>
          <w:color w:val="auto"/>
          <w:kern w:val="2"/>
          <w:sz w:val="21"/>
          <w:szCs w:val="21"/>
          <w:highlight w:val="none"/>
          <w:lang w:val="en-US" w:eastAsia="zh-CN" w:bidi="ar-SA"/>
        </w:rPr>
        <w:t>评标程序详见第四部分 评标办法</w:t>
      </w:r>
    </w:p>
    <w:p w14:paraId="2B2E2CFD">
      <w:pPr>
        <w:keepNext w:val="0"/>
        <w:keepLines w:val="0"/>
        <w:pageBreakBefore w:val="0"/>
        <w:widowControl w:val="0"/>
        <w:kinsoku/>
        <w:wordWrap/>
        <w:overflowPunct/>
        <w:topLinePunct w:val="0"/>
        <w:autoSpaceDE/>
        <w:autoSpaceDN/>
        <w:bidi w:val="0"/>
        <w:spacing w:line="360" w:lineRule="auto"/>
        <w:textAlignment w:val="auto"/>
        <w:rPr>
          <w:rFonts w:hint="eastAsia"/>
          <w:b/>
          <w:bCs/>
        </w:rPr>
      </w:pPr>
      <w:r>
        <w:rPr>
          <w:rFonts w:hint="eastAsia"/>
          <w:b/>
          <w:bCs/>
          <w:lang w:val="en-US" w:eastAsia="zh-CN"/>
        </w:rPr>
        <w:t>六、</w:t>
      </w:r>
      <w:r>
        <w:rPr>
          <w:rFonts w:hint="eastAsia"/>
          <w:b/>
          <w:bCs/>
          <w:lang w:eastAsia="zh-CN"/>
        </w:rPr>
        <w:t>投标文件</w:t>
      </w:r>
      <w:r>
        <w:rPr>
          <w:rFonts w:hint="eastAsia"/>
          <w:b/>
          <w:bCs/>
        </w:rPr>
        <w:t>的澄清和补正</w:t>
      </w:r>
    </w:p>
    <w:p w14:paraId="3CF793D7">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22</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rPr>
          <w:rFonts w:hint="eastAsia"/>
        </w:rPr>
        <w:t>为有助于</w:t>
      </w:r>
      <w:r>
        <w:rPr>
          <w:rFonts w:hint="eastAsia"/>
          <w:lang w:eastAsia="zh-CN"/>
        </w:rPr>
        <w:t>投标文件</w:t>
      </w:r>
      <w:r>
        <w:rPr>
          <w:rFonts w:hint="eastAsia"/>
        </w:rPr>
        <w:t>的审查、评价和比较，</w:t>
      </w:r>
      <w:r>
        <w:rPr>
          <w:rFonts w:hint="eastAsia"/>
          <w:lang w:eastAsia="zh-CN"/>
        </w:rPr>
        <w:t>评标</w:t>
      </w:r>
      <w:r>
        <w:rPr>
          <w:rFonts w:hint="eastAsia"/>
        </w:rPr>
        <w:t>期间，经</w:t>
      </w:r>
      <w:r>
        <w:rPr>
          <w:rFonts w:hint="eastAsia"/>
          <w:lang w:eastAsia="zh-CN"/>
        </w:rPr>
        <w:t>评标小组</w:t>
      </w:r>
      <w:r>
        <w:rPr>
          <w:rFonts w:hint="eastAsia"/>
        </w:rPr>
        <w:t>中过半数或以上成员以书面形式提出动议，</w:t>
      </w:r>
      <w:r>
        <w:rPr>
          <w:rFonts w:hint="eastAsia"/>
          <w:lang w:eastAsia="zh-CN"/>
        </w:rPr>
        <w:t>评标小组</w:t>
      </w:r>
      <w:r>
        <w:rPr>
          <w:rFonts w:hint="eastAsia"/>
        </w:rPr>
        <w:t>应当书面发出澄清通知，要求</w:t>
      </w:r>
      <w:r>
        <w:rPr>
          <w:rFonts w:hint="eastAsia"/>
          <w:lang w:eastAsia="zh-CN"/>
        </w:rPr>
        <w:t>投标人</w:t>
      </w:r>
      <w:r>
        <w:rPr>
          <w:rFonts w:hint="eastAsia"/>
        </w:rPr>
        <w:t>对</w:t>
      </w:r>
      <w:r>
        <w:rPr>
          <w:rFonts w:hint="eastAsia"/>
          <w:lang w:eastAsia="zh-CN"/>
        </w:rPr>
        <w:t>投标文件</w:t>
      </w:r>
      <w:r>
        <w:rPr>
          <w:rFonts w:hint="eastAsia"/>
        </w:rPr>
        <w:t>含义不明确的内容作出澄清。</w:t>
      </w:r>
    </w:p>
    <w:p w14:paraId="04AB8374">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22</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2 </w:t>
      </w:r>
      <w:r>
        <w:rPr>
          <w:rFonts w:hint="eastAsia"/>
          <w:lang w:eastAsia="zh-CN"/>
        </w:rPr>
        <w:t>投标人</w:t>
      </w:r>
      <w:r>
        <w:rPr>
          <w:rFonts w:hint="eastAsia"/>
        </w:rPr>
        <w:t>应以书面形式进行澄清，澄清中的承诺性意思表示在</w:t>
      </w:r>
      <w:r>
        <w:rPr>
          <w:rFonts w:hint="eastAsia"/>
          <w:lang w:eastAsia="zh-CN"/>
        </w:rPr>
        <w:t>投标文件</w:t>
      </w:r>
      <w:r>
        <w:rPr>
          <w:rFonts w:hint="eastAsia"/>
        </w:rPr>
        <w:t>有效期内均对</w:t>
      </w:r>
      <w:r>
        <w:rPr>
          <w:rFonts w:hint="eastAsia"/>
          <w:lang w:eastAsia="zh-CN"/>
        </w:rPr>
        <w:t>投标人</w:t>
      </w:r>
      <w:r>
        <w:rPr>
          <w:rFonts w:hint="eastAsia"/>
        </w:rPr>
        <w:t>有约束力。除</w:t>
      </w:r>
      <w:r>
        <w:rPr>
          <w:rFonts w:hint="eastAsia"/>
          <w:lang w:eastAsia="zh-CN"/>
        </w:rPr>
        <w:t>评标小组</w:t>
      </w:r>
      <w:r>
        <w:rPr>
          <w:rFonts w:hint="eastAsia"/>
        </w:rPr>
        <w:t>对</w:t>
      </w:r>
      <w:r>
        <w:rPr>
          <w:rFonts w:hint="eastAsia"/>
          <w:lang w:eastAsia="zh-CN"/>
        </w:rPr>
        <w:t>评标</w:t>
      </w:r>
      <w:r>
        <w:rPr>
          <w:rFonts w:hint="eastAsia"/>
        </w:rPr>
        <w:t>中发现算术错误进行修正后要求</w:t>
      </w:r>
      <w:r>
        <w:rPr>
          <w:rFonts w:hint="eastAsia"/>
          <w:lang w:eastAsia="zh-CN"/>
        </w:rPr>
        <w:t>投标人</w:t>
      </w:r>
      <w:r>
        <w:rPr>
          <w:rFonts w:hint="eastAsia"/>
        </w:rPr>
        <w:t>以澄清形式进行的核实和确认外，澄清不得超出</w:t>
      </w:r>
      <w:r>
        <w:rPr>
          <w:rFonts w:hint="eastAsia"/>
          <w:lang w:eastAsia="zh-CN"/>
        </w:rPr>
        <w:t>投标文件</w:t>
      </w:r>
      <w:r>
        <w:rPr>
          <w:rFonts w:hint="eastAsia"/>
        </w:rPr>
        <w:t>的范围或改变</w:t>
      </w:r>
      <w:r>
        <w:rPr>
          <w:rFonts w:hint="eastAsia"/>
          <w:lang w:eastAsia="zh-CN"/>
        </w:rPr>
        <w:t>投标文件</w:t>
      </w:r>
      <w:r>
        <w:rPr>
          <w:rFonts w:hint="eastAsia"/>
        </w:rPr>
        <w:t>的实质性内容，超出部分不作为</w:t>
      </w:r>
      <w:r>
        <w:rPr>
          <w:rFonts w:hint="eastAsia"/>
          <w:lang w:eastAsia="zh-CN"/>
        </w:rPr>
        <w:t>评标小组</w:t>
      </w:r>
      <w:r>
        <w:rPr>
          <w:rFonts w:hint="eastAsia"/>
        </w:rPr>
        <w:t>相应</w:t>
      </w:r>
      <w:r>
        <w:rPr>
          <w:rFonts w:hint="eastAsia"/>
          <w:lang w:eastAsia="zh-CN"/>
        </w:rPr>
        <w:t>评标</w:t>
      </w:r>
      <w:r>
        <w:rPr>
          <w:rFonts w:hint="eastAsia"/>
        </w:rPr>
        <w:t>的依据。</w:t>
      </w:r>
    </w:p>
    <w:p w14:paraId="2F54728E">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22</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3 </w:t>
      </w:r>
      <w:r>
        <w:rPr>
          <w:rFonts w:hint="eastAsia"/>
          <w:lang w:eastAsia="zh-CN"/>
        </w:rPr>
        <w:t>评标小组</w:t>
      </w:r>
      <w:r>
        <w:rPr>
          <w:rFonts w:hint="eastAsia"/>
        </w:rPr>
        <w:t>各成员均应当阅读</w:t>
      </w:r>
      <w:r>
        <w:rPr>
          <w:rFonts w:hint="eastAsia"/>
          <w:lang w:eastAsia="zh-CN"/>
        </w:rPr>
        <w:t>投标人</w:t>
      </w:r>
      <w:r>
        <w:rPr>
          <w:rFonts w:hint="eastAsia"/>
        </w:rPr>
        <w:t>的澄清，但应独立参考澄清对</w:t>
      </w:r>
      <w:r>
        <w:rPr>
          <w:rFonts w:hint="eastAsia"/>
          <w:lang w:eastAsia="zh-CN"/>
        </w:rPr>
        <w:t>投标文件</w:t>
      </w:r>
      <w:r>
        <w:rPr>
          <w:rFonts w:hint="eastAsia"/>
        </w:rPr>
        <w:t>进行</w:t>
      </w:r>
      <w:r>
        <w:rPr>
          <w:rFonts w:hint="eastAsia"/>
          <w:lang w:eastAsia="zh-CN"/>
        </w:rPr>
        <w:t>评标</w:t>
      </w:r>
      <w:r>
        <w:rPr>
          <w:rFonts w:hint="eastAsia"/>
        </w:rPr>
        <w:t>。</w:t>
      </w:r>
    </w:p>
    <w:p w14:paraId="28FD5403">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22</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4 </w:t>
      </w:r>
      <w:r>
        <w:rPr>
          <w:rFonts w:hint="eastAsia"/>
        </w:rPr>
        <w:t>如果</w:t>
      </w:r>
      <w:r>
        <w:rPr>
          <w:rFonts w:hint="eastAsia"/>
          <w:lang w:eastAsia="zh-CN"/>
        </w:rPr>
        <w:t>投标文件</w:t>
      </w:r>
      <w:r>
        <w:rPr>
          <w:rFonts w:hint="eastAsia"/>
        </w:rPr>
        <w:t>实质上不响应</w:t>
      </w:r>
      <w:r>
        <w:rPr>
          <w:rFonts w:hint="eastAsia"/>
          <w:lang w:val="en-US" w:eastAsia="zh-CN"/>
        </w:rPr>
        <w:t>招标</w:t>
      </w:r>
      <w:r>
        <w:rPr>
          <w:rFonts w:hint="eastAsia"/>
        </w:rPr>
        <w:t>文件的各项要求，</w:t>
      </w:r>
      <w:r>
        <w:rPr>
          <w:rFonts w:hint="eastAsia"/>
          <w:lang w:eastAsia="zh-CN"/>
        </w:rPr>
        <w:t>评标小组</w:t>
      </w:r>
      <w:r>
        <w:rPr>
          <w:rFonts w:hint="eastAsia"/>
        </w:rPr>
        <w:t>相应</w:t>
      </w:r>
      <w:r>
        <w:rPr>
          <w:rFonts w:hint="eastAsia"/>
          <w:lang w:eastAsia="zh-CN"/>
        </w:rPr>
        <w:t>评标</w:t>
      </w:r>
      <w:r>
        <w:rPr>
          <w:rFonts w:hint="eastAsia"/>
        </w:rPr>
        <w:t>将按照</w:t>
      </w:r>
      <w:r>
        <w:rPr>
          <w:rFonts w:hint="eastAsia"/>
          <w:lang w:val="en-US" w:eastAsia="zh-CN"/>
        </w:rPr>
        <w:t>符合性</w:t>
      </w:r>
      <w:r>
        <w:rPr>
          <w:rFonts w:hint="eastAsia"/>
        </w:rPr>
        <w:t>审查标准予以拒绝，不接受</w:t>
      </w:r>
      <w:r>
        <w:rPr>
          <w:rFonts w:hint="eastAsia"/>
          <w:lang w:eastAsia="zh-CN"/>
        </w:rPr>
        <w:t>投标人</w:t>
      </w:r>
      <w:r>
        <w:rPr>
          <w:rFonts w:hint="eastAsia"/>
        </w:rPr>
        <w:t>通过修改或撤销其不符合要求的差异或保留，使之成为具有响应性的文件。</w:t>
      </w:r>
    </w:p>
    <w:p w14:paraId="3F3B127F">
      <w:pPr>
        <w:keepNext w:val="0"/>
        <w:keepLines w:val="0"/>
        <w:pageBreakBefore w:val="0"/>
        <w:widowControl w:val="0"/>
        <w:kinsoku/>
        <w:wordWrap/>
        <w:overflowPunct/>
        <w:topLinePunct w:val="0"/>
        <w:autoSpaceDE/>
        <w:autoSpaceDN/>
        <w:bidi w:val="0"/>
        <w:spacing w:line="360" w:lineRule="auto"/>
        <w:textAlignment w:val="auto"/>
        <w:rPr>
          <w:rFonts w:hint="eastAsia"/>
          <w:b/>
          <w:bCs/>
          <w:lang w:val="en-US" w:eastAsia="zh-CN"/>
        </w:rPr>
      </w:pPr>
      <w:r>
        <w:rPr>
          <w:rFonts w:hint="eastAsia"/>
          <w:b/>
          <w:bCs/>
          <w:lang w:val="en-US" w:eastAsia="zh-CN"/>
        </w:rPr>
        <w:t>七、</w:t>
      </w:r>
      <w:r>
        <w:rPr>
          <w:rFonts w:hint="eastAsia"/>
          <w:b/>
          <w:bCs/>
        </w:rPr>
        <w:t>定</w:t>
      </w:r>
      <w:r>
        <w:rPr>
          <w:rFonts w:hint="eastAsia"/>
          <w:b/>
          <w:bCs/>
          <w:lang w:val="en-US" w:eastAsia="zh-CN"/>
        </w:rPr>
        <w:t>标</w:t>
      </w:r>
    </w:p>
    <w:p w14:paraId="5270D70D">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23</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rPr>
          <w:rFonts w:hint="eastAsia"/>
          <w:lang w:eastAsia="zh-CN"/>
        </w:rPr>
        <w:t>招标人</w:t>
      </w:r>
      <w:r>
        <w:rPr>
          <w:rFonts w:hint="eastAsia"/>
        </w:rPr>
        <w:t>依据</w:t>
      </w:r>
      <w:r>
        <w:rPr>
          <w:rFonts w:hint="eastAsia"/>
          <w:lang w:eastAsia="zh-CN"/>
        </w:rPr>
        <w:t>评标小组</w:t>
      </w:r>
      <w:r>
        <w:rPr>
          <w:rFonts w:hint="eastAsia"/>
        </w:rPr>
        <w:t>的</w:t>
      </w:r>
      <w:r>
        <w:rPr>
          <w:rFonts w:hint="eastAsia"/>
          <w:lang w:eastAsia="zh-CN"/>
        </w:rPr>
        <w:t>评标</w:t>
      </w:r>
      <w:r>
        <w:rPr>
          <w:rFonts w:hint="eastAsia"/>
        </w:rPr>
        <w:t>结果依法确定中</w:t>
      </w:r>
      <w:r>
        <w:rPr>
          <w:rFonts w:hint="eastAsia"/>
          <w:lang w:val="en-US" w:eastAsia="zh-CN"/>
        </w:rPr>
        <w:t>标</w:t>
      </w:r>
      <w:r>
        <w:rPr>
          <w:rFonts w:hint="eastAsia"/>
        </w:rPr>
        <w:t>人，并以书面形式向中选人发出中</w:t>
      </w:r>
      <w:r>
        <w:rPr>
          <w:rFonts w:hint="eastAsia"/>
          <w:lang w:val="en-US" w:eastAsia="zh-CN"/>
        </w:rPr>
        <w:t>标通</w:t>
      </w:r>
      <w:r>
        <w:rPr>
          <w:rFonts w:hint="eastAsia"/>
        </w:rPr>
        <w:t>知书。</w:t>
      </w:r>
    </w:p>
    <w:p w14:paraId="252CB8A1">
      <w:pPr>
        <w:keepNext w:val="0"/>
        <w:keepLines w:val="0"/>
        <w:pageBreakBefore w:val="0"/>
        <w:widowControl w:val="0"/>
        <w:kinsoku/>
        <w:wordWrap/>
        <w:overflowPunct/>
        <w:topLinePunct w:val="0"/>
        <w:autoSpaceDE/>
        <w:autoSpaceDN/>
        <w:bidi w:val="0"/>
        <w:spacing w:line="360" w:lineRule="auto"/>
        <w:textAlignment w:val="auto"/>
        <w:rPr>
          <w:rFonts w:hint="eastAsia"/>
          <w:b/>
          <w:bCs/>
        </w:rPr>
      </w:pPr>
      <w:r>
        <w:rPr>
          <w:rFonts w:hint="eastAsia"/>
          <w:b/>
          <w:bCs/>
          <w:lang w:val="en-US" w:eastAsia="zh-CN"/>
        </w:rPr>
        <w:t>八、</w:t>
      </w:r>
      <w:r>
        <w:rPr>
          <w:rFonts w:hint="eastAsia"/>
          <w:b/>
          <w:bCs/>
        </w:rPr>
        <w:t>其他</w:t>
      </w:r>
    </w:p>
    <w:p w14:paraId="458DDD6A">
      <w:pPr>
        <w:keepNext w:val="0"/>
        <w:keepLines w:val="0"/>
        <w:pageBreakBefore w:val="0"/>
        <w:widowControl w:val="0"/>
        <w:kinsoku/>
        <w:wordWrap/>
        <w:overflowPunct/>
        <w:topLinePunct w:val="0"/>
        <w:autoSpaceDE/>
        <w:autoSpaceDN/>
        <w:bidi w:val="0"/>
        <w:spacing w:line="360" w:lineRule="auto"/>
        <w:textAlignment w:val="auto"/>
        <w:rPr>
          <w:rFonts w:hint="default"/>
          <w:lang w:val="en-US" w:eastAsia="zh-CN"/>
        </w:rPr>
      </w:pPr>
      <w:r>
        <w:rPr>
          <w:rFonts w:hint="eastAsia" w:ascii="宋体" w:hAnsi="宋体"/>
          <w:color w:val="auto"/>
          <w:szCs w:val="21"/>
          <w:highlight w:val="none"/>
          <w:lang w:val="en-US" w:eastAsia="zh-CN"/>
        </w:rPr>
        <w:t>24</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rPr>
          <w:rFonts w:hint="eastAsia"/>
        </w:rPr>
        <w:t>本</w:t>
      </w:r>
      <w:r>
        <w:rPr>
          <w:rFonts w:hint="eastAsia"/>
          <w:lang w:val="en-US" w:eastAsia="zh-CN"/>
        </w:rPr>
        <w:t>项目满</w:t>
      </w:r>
      <w:r>
        <w:rPr>
          <w:rFonts w:hint="eastAsia"/>
        </w:rPr>
        <w:t>足</w:t>
      </w:r>
      <w:r>
        <w:rPr>
          <w:rFonts w:hint="eastAsia"/>
          <w:lang w:val="en-US" w:eastAsia="zh-CN"/>
        </w:rPr>
        <w:t>符合性</w:t>
      </w:r>
      <w:r>
        <w:rPr>
          <w:rFonts w:hint="eastAsia"/>
        </w:rPr>
        <w:t>审查的</w:t>
      </w:r>
      <w:r>
        <w:rPr>
          <w:rFonts w:hint="eastAsia"/>
          <w:lang w:eastAsia="zh-CN"/>
        </w:rPr>
        <w:t>投标人</w:t>
      </w:r>
      <w:r>
        <w:rPr>
          <w:rFonts w:hint="eastAsia"/>
        </w:rPr>
        <w:t>不足 3 名或经</w:t>
      </w:r>
      <w:r>
        <w:rPr>
          <w:rFonts w:hint="eastAsia"/>
          <w:lang w:eastAsia="zh-CN"/>
        </w:rPr>
        <w:t>评标</w:t>
      </w:r>
      <w:r>
        <w:rPr>
          <w:rFonts w:hint="eastAsia"/>
        </w:rPr>
        <w:t>有效的</w:t>
      </w:r>
      <w:r>
        <w:rPr>
          <w:rFonts w:hint="eastAsia"/>
          <w:lang w:eastAsia="zh-CN"/>
        </w:rPr>
        <w:t>投标人</w:t>
      </w:r>
      <w:r>
        <w:rPr>
          <w:rFonts w:hint="eastAsia"/>
        </w:rPr>
        <w:t>不足 3 名时为</w:t>
      </w:r>
      <w:r>
        <w:rPr>
          <w:rFonts w:hint="eastAsia"/>
          <w:lang w:val="en-US" w:eastAsia="zh-CN"/>
        </w:rPr>
        <w:t>招标</w:t>
      </w:r>
      <w:r>
        <w:rPr>
          <w:rFonts w:hint="eastAsia"/>
        </w:rPr>
        <w:t>失败，</w:t>
      </w:r>
      <w:r>
        <w:rPr>
          <w:rFonts w:hint="eastAsia"/>
          <w:lang w:eastAsia="zh-CN"/>
        </w:rPr>
        <w:t>招标人</w:t>
      </w:r>
      <w:r>
        <w:rPr>
          <w:rFonts w:hint="eastAsia"/>
        </w:rPr>
        <w:t>重新</w:t>
      </w:r>
      <w:r>
        <w:rPr>
          <w:rFonts w:hint="eastAsia"/>
          <w:lang w:val="en-US" w:eastAsia="zh-CN"/>
        </w:rPr>
        <w:t>组织招标。</w:t>
      </w:r>
    </w:p>
    <w:p w14:paraId="664DD7BC">
      <w:pPr>
        <w:keepNext w:val="0"/>
        <w:keepLines w:val="0"/>
        <w:pageBreakBefore w:val="0"/>
        <w:widowControl w:val="0"/>
        <w:kinsoku/>
        <w:wordWrap/>
        <w:overflowPunct/>
        <w:topLinePunct w:val="0"/>
        <w:autoSpaceDE/>
        <w:autoSpaceDN/>
        <w:bidi w:val="0"/>
        <w:spacing w:line="360" w:lineRule="auto"/>
        <w:textAlignment w:val="auto"/>
        <w:rPr>
          <w:rFonts w:hint="eastAsia"/>
          <w:b/>
          <w:bCs/>
          <w:color w:val="auto"/>
          <w:highlight w:val="none"/>
        </w:rPr>
      </w:pPr>
      <w:r>
        <w:rPr>
          <w:rFonts w:hint="eastAsia"/>
          <w:b/>
          <w:bCs/>
          <w:color w:val="auto"/>
          <w:highlight w:val="none"/>
          <w:lang w:val="en-US" w:eastAsia="zh-CN"/>
        </w:rPr>
        <w:t>九</w:t>
      </w:r>
      <w:r>
        <w:rPr>
          <w:rFonts w:hint="eastAsia"/>
          <w:b/>
          <w:bCs/>
          <w:color w:val="auto"/>
          <w:highlight w:val="none"/>
        </w:rPr>
        <w:t>、异议和投诉</w:t>
      </w:r>
    </w:p>
    <w:p w14:paraId="35E783A3">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25</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1 </w:t>
      </w:r>
      <w:r>
        <w:rPr>
          <w:rFonts w:hint="eastAsia"/>
        </w:rPr>
        <w:t>如果投标人对此次招标活动有疑异议，可依法向招标人提出。招标人应当依法给与答复，并将结果告知有关当事人。</w:t>
      </w:r>
    </w:p>
    <w:p w14:paraId="20CCE635">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25</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2 </w:t>
      </w:r>
      <w:r>
        <w:rPr>
          <w:rFonts w:hint="eastAsia"/>
        </w:rPr>
        <w:t>投标人对招标人的答复不满意或他们未在规定时间内给予答复的，提出异议的投标人可以在答复期满后10日内，可向有关招标监督管理机构投诉。投诉应当有明确的请求和必要的证明材料。</w:t>
      </w:r>
    </w:p>
    <w:p w14:paraId="2C16EEC6">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25</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3 </w:t>
      </w:r>
      <w:r>
        <w:rPr>
          <w:rFonts w:hint="eastAsia"/>
        </w:rPr>
        <w:t>投诉部门：</w:t>
      </w:r>
      <w:r>
        <w:t>广州市番禺区石壁街道钟顺路</w:t>
      </w:r>
      <w:r>
        <w:rPr>
          <w:rFonts w:hint="eastAsia"/>
        </w:rPr>
        <w:t>626号纪委办公室</w:t>
      </w:r>
    </w:p>
    <w:p w14:paraId="544869D5">
      <w:pPr>
        <w:keepNext w:val="0"/>
        <w:keepLines w:val="0"/>
        <w:pageBreakBefore w:val="0"/>
        <w:widowControl w:val="0"/>
        <w:kinsoku/>
        <w:wordWrap/>
        <w:overflowPunct/>
        <w:topLinePunct w:val="0"/>
        <w:autoSpaceDE/>
        <w:autoSpaceDN/>
        <w:bidi w:val="0"/>
        <w:spacing w:line="360" w:lineRule="auto"/>
        <w:textAlignment w:val="auto"/>
        <w:rPr>
          <w:rFonts w:hint="eastAsia"/>
        </w:rPr>
      </w:pPr>
      <w:r>
        <w:rPr>
          <w:rFonts w:hint="eastAsia" w:ascii="宋体" w:hAnsi="宋体"/>
          <w:color w:val="auto"/>
          <w:szCs w:val="21"/>
          <w:highlight w:val="none"/>
          <w:lang w:val="en-US" w:eastAsia="zh-CN"/>
        </w:rPr>
        <w:t>25</w:t>
      </w:r>
      <w:r>
        <w:rPr>
          <w:rFonts w:hint="eastAsia" w:ascii="宋体" w:hAnsi="宋体"/>
          <w:color w:val="auto"/>
          <w:szCs w:val="21"/>
          <w:highlight w:val="none"/>
        </w:rPr>
        <w:t>.</w:t>
      </w:r>
      <w:r>
        <w:rPr>
          <w:rFonts w:hint="eastAsia" w:ascii="宋体" w:hAnsi="宋体"/>
          <w:color w:val="auto"/>
          <w:szCs w:val="21"/>
          <w:highlight w:val="none"/>
          <w:lang w:val="en-US" w:eastAsia="zh-CN"/>
        </w:rPr>
        <w:t xml:space="preserve">4 </w:t>
      </w:r>
      <w:r>
        <w:rPr>
          <w:rFonts w:hint="eastAsia"/>
        </w:rPr>
        <w:t>联系电话：020-84539889、020-31177298</w:t>
      </w:r>
    </w:p>
    <w:p w14:paraId="456D5DCA">
      <w:pPr>
        <w:pStyle w:val="13"/>
        <w:keepNext w:val="0"/>
        <w:keepLines w:val="0"/>
        <w:pageBreakBefore w:val="0"/>
        <w:widowControl w:val="0"/>
        <w:kinsoku/>
        <w:wordWrap/>
        <w:overflowPunct/>
        <w:topLinePunct w:val="0"/>
        <w:autoSpaceDE/>
        <w:autoSpaceDN/>
        <w:bidi w:val="0"/>
        <w:spacing w:line="360" w:lineRule="auto"/>
        <w:textAlignment w:val="auto"/>
        <w:rPr>
          <w:rFonts w:hint="eastAsia"/>
          <w:color w:val="auto"/>
          <w:highlight w:val="none"/>
        </w:rPr>
      </w:pPr>
      <w:r>
        <w:rPr>
          <w:rFonts w:hint="eastAsia"/>
          <w:color w:val="auto"/>
          <w:highlight w:val="none"/>
          <w:lang w:val="en-US" w:eastAsia="zh-CN"/>
        </w:rPr>
        <w:t>十</w:t>
      </w:r>
      <w:r>
        <w:rPr>
          <w:rFonts w:hint="eastAsia"/>
          <w:color w:val="auto"/>
          <w:highlight w:val="none"/>
        </w:rPr>
        <w:t>、合同的订立和履行</w:t>
      </w:r>
    </w:p>
    <w:p w14:paraId="4BDDDA91">
      <w:pPr>
        <w:pStyle w:val="13"/>
        <w:keepNext w:val="0"/>
        <w:keepLines w:val="0"/>
        <w:pageBreakBefore w:val="0"/>
        <w:widowControl w:val="0"/>
        <w:kinsoku/>
        <w:wordWrap/>
        <w:overflowPunct/>
        <w:topLinePunct w:val="0"/>
        <w:autoSpaceDE/>
        <w:autoSpaceDN/>
        <w:bidi w:val="0"/>
        <w:spacing w:before="0" w:beforeLines="0" w:after="0" w:afterLines="0" w:line="360" w:lineRule="auto"/>
        <w:textAlignment w:val="auto"/>
        <w:rPr>
          <w:rFonts w:hint="eastAsia"/>
          <w:color w:val="auto"/>
          <w:highlight w:val="none"/>
        </w:rPr>
      </w:pPr>
      <w:r>
        <w:rPr>
          <w:rFonts w:hint="eastAsia"/>
          <w:color w:val="auto"/>
          <w:highlight w:val="none"/>
        </w:rPr>
        <w:t>2</w:t>
      </w:r>
      <w:r>
        <w:rPr>
          <w:rFonts w:hint="eastAsia"/>
          <w:color w:val="auto"/>
          <w:highlight w:val="none"/>
          <w:lang w:val="en-US" w:eastAsia="zh-CN"/>
        </w:rPr>
        <w:t>6</w:t>
      </w:r>
      <w:r>
        <w:rPr>
          <w:rFonts w:hint="eastAsia"/>
          <w:color w:val="auto"/>
          <w:highlight w:val="none"/>
        </w:rPr>
        <w:t>．合同的订立</w:t>
      </w:r>
    </w:p>
    <w:p w14:paraId="72715665">
      <w:pPr>
        <w:keepNext w:val="0"/>
        <w:keepLines w:val="0"/>
        <w:pageBreakBefore w:val="0"/>
        <w:widowControl w:val="0"/>
        <w:kinsoku/>
        <w:wordWrap/>
        <w:overflowPunct/>
        <w:topLinePunct w:val="0"/>
        <w:autoSpaceDE/>
        <w:autoSpaceDN/>
        <w:bidi w:val="0"/>
        <w:adjustRightInd w:val="0"/>
        <w:snapToGrid w:val="0"/>
        <w:spacing w:line="360" w:lineRule="auto"/>
        <w:ind w:left="476" w:hanging="476"/>
        <w:textAlignment w:val="auto"/>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6</w:t>
      </w:r>
      <w:r>
        <w:rPr>
          <w:rFonts w:hint="eastAsia" w:ascii="宋体" w:hAnsi="宋体"/>
          <w:color w:val="auto"/>
          <w:szCs w:val="21"/>
          <w:highlight w:val="none"/>
        </w:rPr>
        <w:t>.1招标人与中标人自中标通知书发出之日起三十日内，按招标文件要求和中标人投标文件承诺签订采购合同，合同的标的、质量、履行期限条款和合同的价款、单价、比例条款等主要条款，应当与招标文件、中标人的投标文件的内容一致，不得超出招标文件和中标人投标文件的范围、也不得再行订立背离合同实质性内容的其他协议。</w:t>
      </w:r>
    </w:p>
    <w:p w14:paraId="1777E846">
      <w:pPr>
        <w:pStyle w:val="13"/>
        <w:keepNext w:val="0"/>
        <w:keepLines w:val="0"/>
        <w:pageBreakBefore w:val="0"/>
        <w:widowControl w:val="0"/>
        <w:kinsoku/>
        <w:wordWrap/>
        <w:overflowPunct/>
        <w:topLinePunct w:val="0"/>
        <w:autoSpaceDE/>
        <w:autoSpaceDN/>
        <w:bidi w:val="0"/>
        <w:spacing w:before="0" w:beforeLines="0" w:after="0" w:afterLines="0" w:line="360" w:lineRule="auto"/>
        <w:textAlignment w:val="auto"/>
        <w:rPr>
          <w:rFonts w:hint="eastAsia"/>
          <w:color w:val="auto"/>
          <w:highlight w:val="none"/>
        </w:rPr>
      </w:pPr>
      <w:r>
        <w:rPr>
          <w:rFonts w:hint="eastAsia"/>
          <w:color w:val="auto"/>
          <w:highlight w:val="none"/>
          <w:lang w:val="en-US" w:eastAsia="zh-CN"/>
        </w:rPr>
        <w:t>27</w:t>
      </w:r>
      <w:r>
        <w:rPr>
          <w:rFonts w:hint="eastAsia"/>
          <w:color w:val="auto"/>
          <w:highlight w:val="none"/>
        </w:rPr>
        <w:t>．合同的履行</w:t>
      </w:r>
    </w:p>
    <w:p w14:paraId="031769E8">
      <w:pPr>
        <w:keepNext w:val="0"/>
        <w:keepLines w:val="0"/>
        <w:pageBreakBefore w:val="0"/>
        <w:widowControl w:val="0"/>
        <w:kinsoku/>
        <w:wordWrap/>
        <w:overflowPunct/>
        <w:topLinePunct w:val="0"/>
        <w:autoSpaceDE/>
        <w:autoSpaceDN/>
        <w:bidi w:val="0"/>
        <w:adjustRightInd w:val="0"/>
        <w:snapToGrid w:val="0"/>
        <w:spacing w:line="360" w:lineRule="auto"/>
        <w:ind w:left="476" w:hanging="476"/>
        <w:textAlignment w:val="auto"/>
        <w:rPr>
          <w:rFonts w:hint="eastAsia" w:ascii="宋体" w:hAnsi="宋体"/>
          <w:color w:val="auto"/>
          <w:szCs w:val="21"/>
          <w:highlight w:val="none"/>
        </w:rPr>
      </w:pPr>
      <w:r>
        <w:rPr>
          <w:rFonts w:hint="eastAsia" w:ascii="宋体" w:hAnsi="宋体"/>
          <w:color w:val="auto"/>
          <w:szCs w:val="21"/>
          <w:highlight w:val="none"/>
          <w:lang w:val="en-US" w:eastAsia="zh-CN"/>
        </w:rPr>
        <w:t>27</w:t>
      </w:r>
      <w:r>
        <w:rPr>
          <w:rFonts w:hint="eastAsia" w:ascii="宋体" w:hAnsi="宋体"/>
          <w:color w:val="auto"/>
          <w:szCs w:val="21"/>
          <w:highlight w:val="none"/>
        </w:rPr>
        <w:t>.1采购合同订立后，合同各方不得擅自变更、中止或者终止合同。</w:t>
      </w:r>
    </w:p>
    <w:p w14:paraId="7502A17D">
      <w:pPr>
        <w:keepNext w:val="0"/>
        <w:keepLines w:val="0"/>
        <w:pageBreakBefore w:val="0"/>
        <w:widowControl w:val="0"/>
        <w:kinsoku/>
        <w:wordWrap/>
        <w:overflowPunct/>
        <w:topLinePunct w:val="0"/>
        <w:autoSpaceDE/>
        <w:autoSpaceDN/>
        <w:bidi w:val="0"/>
        <w:adjustRightInd w:val="0"/>
        <w:snapToGrid w:val="0"/>
        <w:spacing w:line="360" w:lineRule="auto"/>
        <w:ind w:left="476" w:hanging="476"/>
        <w:textAlignment w:val="auto"/>
        <w:rPr>
          <w:rFonts w:hint="eastAsia" w:ascii="宋体" w:hAnsi="宋体"/>
          <w:color w:val="auto"/>
          <w:szCs w:val="21"/>
          <w:highlight w:val="none"/>
        </w:rPr>
      </w:pPr>
      <w:r>
        <w:rPr>
          <w:rFonts w:hint="eastAsia" w:ascii="宋体" w:hAnsi="宋体"/>
          <w:color w:val="auto"/>
          <w:szCs w:val="21"/>
          <w:highlight w:val="none"/>
          <w:lang w:val="en-US" w:eastAsia="zh-CN"/>
        </w:rPr>
        <w:t>27</w:t>
      </w:r>
      <w:r>
        <w:rPr>
          <w:rFonts w:hint="eastAsia" w:ascii="宋体" w:hAnsi="宋体"/>
          <w:color w:val="auto"/>
          <w:szCs w:val="21"/>
          <w:highlight w:val="none"/>
        </w:rPr>
        <w:t>.2如果</w:t>
      </w:r>
      <w:r>
        <w:rPr>
          <w:rFonts w:hint="eastAsia" w:ascii="宋体" w:hAnsi="宋体"/>
          <w:b/>
          <w:bCs/>
          <w:color w:val="auto"/>
          <w:szCs w:val="21"/>
          <w:highlight w:val="none"/>
        </w:rPr>
        <w:t>《投标人须知前附表》</w:t>
      </w:r>
      <w:r>
        <w:rPr>
          <w:rFonts w:hint="eastAsia" w:ascii="宋体" w:hAnsi="宋体"/>
          <w:color w:val="auto"/>
          <w:szCs w:val="21"/>
          <w:highlight w:val="none"/>
        </w:rPr>
        <w:t>有要求，中标人</w:t>
      </w:r>
      <w:r>
        <w:rPr>
          <w:rFonts w:hint="eastAsia" w:ascii="宋体" w:hAnsi="宋体"/>
          <w:color w:val="auto"/>
          <w:highlight w:val="none"/>
        </w:rPr>
        <w:t>应按照招标文件的</w:t>
      </w:r>
      <w:r>
        <w:rPr>
          <w:rFonts w:hint="eastAsia" w:ascii="宋体" w:hAnsi="宋体"/>
          <w:color w:val="auto"/>
          <w:szCs w:val="21"/>
          <w:highlight w:val="none"/>
        </w:rPr>
        <w:t>规定，采用履约保证金银行保函形式或招标人可以接受的其它形式向招标人提交履约保证金。如果</w:t>
      </w:r>
      <w:r>
        <w:rPr>
          <w:rFonts w:ascii="宋体" w:hAnsi="宋体"/>
          <w:color w:val="auto"/>
          <w:szCs w:val="21"/>
          <w:highlight w:val="none"/>
        </w:rPr>
        <w:t>中标人不</w:t>
      </w:r>
      <w:r>
        <w:rPr>
          <w:rFonts w:hint="eastAsia" w:ascii="宋体" w:hAnsi="宋体"/>
          <w:color w:val="auto"/>
          <w:szCs w:val="21"/>
          <w:highlight w:val="none"/>
        </w:rPr>
        <w:t>按规定向招标人提交履约担保</w:t>
      </w:r>
      <w:r>
        <w:rPr>
          <w:rFonts w:ascii="宋体" w:hAnsi="宋体"/>
          <w:color w:val="auto"/>
          <w:szCs w:val="21"/>
          <w:highlight w:val="none"/>
        </w:rPr>
        <w:t>，招标人将有充分的理由取消其中标资格并不予退还其投标保证金</w:t>
      </w:r>
      <w:r>
        <w:rPr>
          <w:rFonts w:hint="eastAsia" w:ascii="宋体" w:hAnsi="宋体"/>
          <w:color w:val="auto"/>
          <w:szCs w:val="21"/>
          <w:highlight w:val="none"/>
        </w:rPr>
        <w:t>。</w:t>
      </w:r>
    </w:p>
    <w:p w14:paraId="6B0BE3A9">
      <w:pPr>
        <w:pStyle w:val="13"/>
        <w:keepNext w:val="0"/>
        <w:keepLines w:val="0"/>
        <w:pageBreakBefore w:val="0"/>
        <w:widowControl w:val="0"/>
        <w:kinsoku/>
        <w:wordWrap/>
        <w:overflowPunct/>
        <w:topLinePunct w:val="0"/>
        <w:autoSpaceDE/>
        <w:autoSpaceDN/>
        <w:bidi w:val="0"/>
        <w:spacing w:line="360" w:lineRule="auto"/>
        <w:textAlignment w:val="auto"/>
        <w:rPr>
          <w:rFonts w:hint="eastAsia"/>
          <w:color w:val="auto"/>
          <w:highlight w:val="none"/>
        </w:rPr>
      </w:pPr>
      <w:r>
        <w:rPr>
          <w:rFonts w:hint="eastAsia"/>
          <w:color w:val="auto"/>
          <w:highlight w:val="none"/>
          <w:lang w:val="en-US" w:eastAsia="zh-CN"/>
        </w:rPr>
        <w:t>十一</w:t>
      </w:r>
      <w:r>
        <w:rPr>
          <w:rFonts w:hint="eastAsia"/>
          <w:color w:val="auto"/>
          <w:highlight w:val="none"/>
        </w:rPr>
        <w:t>、适用法律</w:t>
      </w:r>
    </w:p>
    <w:p w14:paraId="01CB97E7">
      <w:pPr>
        <w:pStyle w:val="13"/>
        <w:keepNext w:val="0"/>
        <w:keepLines w:val="0"/>
        <w:pageBreakBefore w:val="0"/>
        <w:widowControl w:val="0"/>
        <w:kinsoku/>
        <w:wordWrap/>
        <w:overflowPunct/>
        <w:topLinePunct w:val="0"/>
        <w:autoSpaceDE/>
        <w:autoSpaceDN/>
        <w:bidi w:val="0"/>
        <w:spacing w:before="0" w:beforeLines="0" w:after="0" w:afterLines="0" w:line="360" w:lineRule="auto"/>
        <w:textAlignment w:val="auto"/>
        <w:rPr>
          <w:rFonts w:hint="eastAsia"/>
          <w:color w:val="auto"/>
          <w:highlight w:val="none"/>
        </w:rPr>
      </w:pPr>
      <w:r>
        <w:rPr>
          <w:rFonts w:hint="eastAsia"/>
          <w:color w:val="auto"/>
          <w:highlight w:val="none"/>
          <w:lang w:val="en-US" w:eastAsia="zh-CN"/>
        </w:rPr>
        <w:t>28</w:t>
      </w:r>
      <w:r>
        <w:rPr>
          <w:rFonts w:hint="eastAsia"/>
          <w:color w:val="auto"/>
          <w:highlight w:val="none"/>
        </w:rPr>
        <w:t>．</w:t>
      </w:r>
      <w:r>
        <w:rPr>
          <w:rFonts w:hint="eastAsia"/>
          <w:b w:val="0"/>
          <w:bCs/>
          <w:color w:val="auto"/>
          <w:highlight w:val="none"/>
        </w:rPr>
        <w:t>招标人及投标人的一切招标投标活动均适用《中华人民共和国招标投标法》及其配套的法规、规章、政策。</w:t>
      </w:r>
    </w:p>
    <w:p w14:paraId="3CF0D9B7">
      <w:pPr>
        <w:spacing w:line="480" w:lineRule="exact"/>
        <w:jc w:val="center"/>
        <w:rPr>
          <w:rFonts w:eastAsia="黑体"/>
          <w:b/>
          <w:color w:val="auto"/>
          <w:sz w:val="44"/>
          <w:highlight w:val="none"/>
        </w:rPr>
      </w:pPr>
      <w:r>
        <w:rPr>
          <w:color w:val="auto"/>
          <w:sz w:val="24"/>
          <w:highlight w:val="none"/>
        </w:rPr>
        <w:br w:type="page"/>
      </w:r>
    </w:p>
    <w:p w14:paraId="44733DB3">
      <w:pPr>
        <w:spacing w:line="480" w:lineRule="exact"/>
        <w:jc w:val="center"/>
        <w:rPr>
          <w:rFonts w:eastAsia="黑体"/>
          <w:b/>
          <w:color w:val="auto"/>
          <w:sz w:val="44"/>
          <w:highlight w:val="none"/>
        </w:rPr>
      </w:pPr>
    </w:p>
    <w:p w14:paraId="61023481">
      <w:pPr>
        <w:spacing w:line="480" w:lineRule="exact"/>
        <w:jc w:val="center"/>
        <w:rPr>
          <w:rFonts w:eastAsia="黑体"/>
          <w:b/>
          <w:color w:val="auto"/>
          <w:sz w:val="44"/>
          <w:highlight w:val="none"/>
        </w:rPr>
      </w:pPr>
    </w:p>
    <w:p w14:paraId="130B4B2B">
      <w:pPr>
        <w:spacing w:line="480" w:lineRule="exact"/>
        <w:jc w:val="center"/>
        <w:rPr>
          <w:rFonts w:eastAsia="黑体"/>
          <w:b/>
          <w:color w:val="auto"/>
          <w:sz w:val="44"/>
          <w:highlight w:val="none"/>
        </w:rPr>
      </w:pPr>
    </w:p>
    <w:p w14:paraId="00ADC83A">
      <w:pPr>
        <w:spacing w:line="480" w:lineRule="exact"/>
        <w:jc w:val="center"/>
        <w:rPr>
          <w:rFonts w:eastAsia="黑体"/>
          <w:b/>
          <w:color w:val="auto"/>
          <w:sz w:val="44"/>
          <w:highlight w:val="none"/>
        </w:rPr>
      </w:pPr>
    </w:p>
    <w:p w14:paraId="6D101087">
      <w:pPr>
        <w:spacing w:line="480" w:lineRule="exact"/>
        <w:jc w:val="center"/>
        <w:rPr>
          <w:rFonts w:eastAsia="黑体"/>
          <w:b/>
          <w:color w:val="auto"/>
          <w:sz w:val="44"/>
          <w:highlight w:val="none"/>
        </w:rPr>
      </w:pPr>
    </w:p>
    <w:p w14:paraId="4628D1E8">
      <w:pPr>
        <w:spacing w:line="480" w:lineRule="exact"/>
        <w:jc w:val="center"/>
        <w:rPr>
          <w:rFonts w:eastAsia="黑体"/>
          <w:b/>
          <w:color w:val="auto"/>
          <w:sz w:val="44"/>
          <w:highlight w:val="none"/>
        </w:rPr>
      </w:pPr>
    </w:p>
    <w:p w14:paraId="22BE4645">
      <w:pPr>
        <w:spacing w:line="480" w:lineRule="exact"/>
        <w:jc w:val="center"/>
        <w:rPr>
          <w:rFonts w:eastAsia="黑体"/>
          <w:b/>
          <w:color w:val="auto"/>
          <w:sz w:val="44"/>
          <w:highlight w:val="none"/>
        </w:rPr>
      </w:pPr>
    </w:p>
    <w:p w14:paraId="2EB7C794">
      <w:pPr>
        <w:spacing w:line="480" w:lineRule="exact"/>
        <w:jc w:val="center"/>
        <w:rPr>
          <w:rFonts w:eastAsia="黑体"/>
          <w:b/>
          <w:color w:val="auto"/>
          <w:sz w:val="44"/>
          <w:highlight w:val="none"/>
        </w:rPr>
      </w:pPr>
    </w:p>
    <w:p w14:paraId="5B37C1F3">
      <w:pPr>
        <w:spacing w:line="480" w:lineRule="exact"/>
        <w:jc w:val="center"/>
        <w:rPr>
          <w:rFonts w:eastAsia="黑体"/>
          <w:b/>
          <w:color w:val="auto"/>
          <w:sz w:val="44"/>
          <w:highlight w:val="none"/>
        </w:rPr>
      </w:pPr>
    </w:p>
    <w:p w14:paraId="68B125EE">
      <w:pPr>
        <w:spacing w:line="480" w:lineRule="exact"/>
        <w:jc w:val="center"/>
        <w:rPr>
          <w:rFonts w:eastAsia="黑体"/>
          <w:b/>
          <w:color w:val="auto"/>
          <w:sz w:val="44"/>
          <w:highlight w:val="none"/>
        </w:rPr>
      </w:pPr>
    </w:p>
    <w:p w14:paraId="5040DAFA">
      <w:pPr>
        <w:spacing w:line="480" w:lineRule="exact"/>
        <w:jc w:val="center"/>
        <w:rPr>
          <w:rFonts w:eastAsia="黑体"/>
          <w:b/>
          <w:color w:val="auto"/>
          <w:sz w:val="44"/>
          <w:highlight w:val="none"/>
        </w:rPr>
      </w:pPr>
    </w:p>
    <w:p w14:paraId="708DDB6B">
      <w:pPr>
        <w:spacing w:line="480" w:lineRule="exact"/>
        <w:jc w:val="center"/>
        <w:rPr>
          <w:rFonts w:eastAsia="黑体"/>
          <w:b/>
          <w:color w:val="auto"/>
          <w:sz w:val="44"/>
          <w:highlight w:val="none"/>
        </w:rPr>
      </w:pPr>
    </w:p>
    <w:p w14:paraId="48661493">
      <w:pPr>
        <w:spacing w:line="480" w:lineRule="exact"/>
        <w:jc w:val="center"/>
        <w:outlineLvl w:val="0"/>
        <w:rPr>
          <w:rFonts w:eastAsia="黑体"/>
          <w:b/>
          <w:color w:val="auto"/>
          <w:sz w:val="44"/>
          <w:highlight w:val="none"/>
        </w:rPr>
      </w:pPr>
      <w:r>
        <w:rPr>
          <w:rFonts w:hint="eastAsia" w:eastAsia="黑体"/>
          <w:b/>
          <w:color w:val="auto"/>
          <w:sz w:val="44"/>
          <w:highlight w:val="none"/>
        </w:rPr>
        <w:t xml:space="preserve">第四部分 </w:t>
      </w:r>
      <w:r>
        <w:rPr>
          <w:rFonts w:eastAsia="黑体"/>
          <w:b/>
          <w:color w:val="auto"/>
          <w:sz w:val="44"/>
          <w:highlight w:val="none"/>
        </w:rPr>
        <w:t xml:space="preserve"> </w:t>
      </w:r>
      <w:r>
        <w:rPr>
          <w:rFonts w:hint="eastAsia" w:eastAsia="黑体"/>
          <w:b/>
          <w:color w:val="auto"/>
          <w:sz w:val="44"/>
          <w:highlight w:val="none"/>
        </w:rPr>
        <w:t>评标方法</w:t>
      </w:r>
    </w:p>
    <w:p w14:paraId="7681B71D">
      <w:pPr>
        <w:pStyle w:val="7"/>
        <w:spacing w:line="360" w:lineRule="auto"/>
        <w:ind w:firstLine="0" w:firstLineChars="0"/>
        <w:jc w:val="center"/>
        <w:rPr>
          <w:rFonts w:eastAsia="黑体"/>
          <w:b/>
          <w:color w:val="auto"/>
          <w:sz w:val="44"/>
          <w:highlight w:val="none"/>
        </w:rPr>
      </w:pPr>
    </w:p>
    <w:p w14:paraId="71E3055B">
      <w:pPr>
        <w:pStyle w:val="7"/>
        <w:spacing w:line="360" w:lineRule="auto"/>
        <w:ind w:firstLine="0" w:firstLineChars="0"/>
        <w:jc w:val="center"/>
        <w:rPr>
          <w:b/>
          <w:color w:val="auto"/>
          <w:sz w:val="28"/>
          <w:szCs w:val="28"/>
          <w:highlight w:val="none"/>
        </w:rPr>
      </w:pPr>
      <w:r>
        <w:rPr>
          <w:color w:val="auto"/>
          <w:highlight w:val="none"/>
        </w:rPr>
        <w:br w:type="page"/>
      </w:r>
      <w:r>
        <w:rPr>
          <w:rFonts w:hint="eastAsia"/>
          <w:b/>
          <w:color w:val="auto"/>
          <w:sz w:val="28"/>
          <w:szCs w:val="28"/>
          <w:highlight w:val="none"/>
        </w:rPr>
        <w:t>评标方法</w:t>
      </w:r>
    </w:p>
    <w:p w14:paraId="46C6DEA5">
      <w:pPr>
        <w:pStyle w:val="7"/>
        <w:snapToGrid w:val="0"/>
        <w:spacing w:line="360" w:lineRule="auto"/>
        <w:ind w:firstLine="0" w:firstLineChars="0"/>
        <w:jc w:val="center"/>
        <w:rPr>
          <w:rFonts w:hint="eastAsia" w:ascii="宋体" w:hAnsi="宋体"/>
          <w:color w:val="auto"/>
          <w:szCs w:val="21"/>
          <w:highlight w:val="none"/>
        </w:rPr>
      </w:pPr>
    </w:p>
    <w:p w14:paraId="4F59793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一、</w:t>
      </w:r>
      <w:r>
        <w:rPr>
          <w:rFonts w:hint="eastAsia"/>
        </w:rPr>
        <w:t>开标</w:t>
      </w:r>
    </w:p>
    <w:p w14:paraId="72CA2B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eastAsia="zh-CN"/>
        </w:rPr>
        <w:t>（</w:t>
      </w:r>
      <w:r>
        <w:rPr>
          <w:rFonts w:hint="eastAsia"/>
          <w:lang w:val="en-US" w:eastAsia="zh-CN"/>
        </w:rPr>
        <w:t>一</w:t>
      </w:r>
      <w:r>
        <w:rPr>
          <w:rFonts w:hint="eastAsia"/>
          <w:lang w:eastAsia="zh-CN"/>
        </w:rPr>
        <w:t>）招标人</w:t>
      </w:r>
      <w:r>
        <w:rPr>
          <w:rFonts w:hint="eastAsia"/>
        </w:rPr>
        <w:t>按规定的时间和地点开标。提交撤回通知的</w:t>
      </w:r>
      <w:r>
        <w:rPr>
          <w:rFonts w:hint="eastAsia"/>
          <w:lang w:eastAsia="zh-CN"/>
        </w:rPr>
        <w:t>投标文件</w:t>
      </w:r>
      <w:r>
        <w:rPr>
          <w:rFonts w:hint="eastAsia"/>
        </w:rPr>
        <w:t>不予开封，并退回给</w:t>
      </w:r>
      <w:r>
        <w:rPr>
          <w:rFonts w:hint="eastAsia"/>
          <w:lang w:eastAsia="zh-CN"/>
        </w:rPr>
        <w:t>投标人</w:t>
      </w:r>
      <w:r>
        <w:rPr>
          <w:rFonts w:hint="eastAsia"/>
        </w:rPr>
        <w:t>。</w:t>
      </w:r>
    </w:p>
    <w:p w14:paraId="31777B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（二）经办人介绍项目基本情况。</w:t>
      </w:r>
      <w:r>
        <w:rPr>
          <w:rFonts w:hint="eastAsia"/>
        </w:rPr>
        <w:t>按要求提交</w:t>
      </w:r>
      <w:r>
        <w:rPr>
          <w:rFonts w:hint="eastAsia"/>
          <w:lang w:eastAsia="zh-CN"/>
        </w:rPr>
        <w:t>投标文件</w:t>
      </w:r>
      <w:r>
        <w:rPr>
          <w:rFonts w:hint="eastAsia"/>
        </w:rPr>
        <w:t>的，</w:t>
      </w:r>
      <w:r>
        <w:rPr>
          <w:rFonts w:hint="eastAsia"/>
          <w:lang w:val="en-US" w:eastAsia="zh-CN"/>
        </w:rPr>
        <w:t>评标小组</w:t>
      </w:r>
      <w:r>
        <w:rPr>
          <w:rFonts w:hint="eastAsia"/>
        </w:rPr>
        <w:t>检查</w:t>
      </w:r>
      <w:r>
        <w:rPr>
          <w:rFonts w:hint="eastAsia"/>
          <w:lang w:eastAsia="zh-CN"/>
        </w:rPr>
        <w:t>投标文件</w:t>
      </w:r>
      <w:r>
        <w:rPr>
          <w:rFonts w:hint="eastAsia"/>
        </w:rPr>
        <w:t>的包封、标记和密封情况</w:t>
      </w:r>
      <w:r>
        <w:rPr>
          <w:rFonts w:hint="eastAsia"/>
          <w:lang w:eastAsia="zh-CN"/>
        </w:rPr>
        <w:t>，</w:t>
      </w:r>
      <w:r>
        <w:rPr>
          <w:rFonts w:hint="eastAsia"/>
        </w:rPr>
        <w:t>开标时当众予以拆封、宣读。</w:t>
      </w:r>
    </w:p>
    <w:p w14:paraId="3EACD4E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（三）</w:t>
      </w:r>
      <w:r>
        <w:rPr>
          <w:rFonts w:hint="eastAsia"/>
        </w:rPr>
        <w:t>经确认无误后，</w:t>
      </w:r>
      <w:r>
        <w:rPr>
          <w:rFonts w:hint="eastAsia"/>
          <w:lang w:val="en-US" w:eastAsia="zh-CN"/>
        </w:rPr>
        <w:t>评标小组根据</w:t>
      </w:r>
      <w:r>
        <w:rPr>
          <w:rFonts w:hint="eastAsia"/>
          <w:lang w:eastAsia="zh-CN"/>
        </w:rPr>
        <w:t>投标</w:t>
      </w:r>
      <w:r>
        <w:rPr>
          <w:rFonts w:hint="eastAsia"/>
          <w:lang w:val="en-US" w:eastAsia="zh-CN"/>
        </w:rPr>
        <w:t>文件按评分表要求进行综合评分</w:t>
      </w:r>
      <w:r>
        <w:rPr>
          <w:rFonts w:hint="eastAsia"/>
        </w:rPr>
        <w:t>并予以记录。</w:t>
      </w:r>
    </w:p>
    <w:p w14:paraId="46BFC1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二、</w:t>
      </w:r>
      <w:r>
        <w:rPr>
          <w:rFonts w:hint="eastAsia"/>
        </w:rPr>
        <w:t>评</w:t>
      </w:r>
      <w:r>
        <w:rPr>
          <w:rFonts w:hint="eastAsia"/>
          <w:lang w:val="en-US" w:eastAsia="zh-CN"/>
        </w:rPr>
        <w:t>标小组组成</w:t>
      </w:r>
    </w:p>
    <w:p w14:paraId="536189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rPr>
        <w:t>评</w:t>
      </w:r>
      <w:r>
        <w:rPr>
          <w:rFonts w:hint="eastAsia"/>
          <w:lang w:val="en-US" w:eastAsia="zh-CN"/>
        </w:rPr>
        <w:t>标小组</w:t>
      </w:r>
      <w:r>
        <w:rPr>
          <w:rFonts w:hint="eastAsia"/>
        </w:rPr>
        <w:t>由招标管理部门</w:t>
      </w:r>
      <w:r>
        <w:rPr>
          <w:rFonts w:hint="eastAsia"/>
          <w:lang w:val="en-US" w:eastAsia="zh-CN"/>
        </w:rPr>
        <w:t>按照招标管理办法抽取评标人员组成。</w:t>
      </w:r>
    </w:p>
    <w:p w14:paraId="57EE00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三、</w:t>
      </w:r>
      <w:r>
        <w:rPr>
          <w:rFonts w:hint="eastAsia"/>
          <w:lang w:eastAsia="zh-CN"/>
        </w:rPr>
        <w:t>评标</w:t>
      </w:r>
      <w:r>
        <w:rPr>
          <w:rFonts w:hint="eastAsia"/>
        </w:rPr>
        <w:t>办法</w:t>
      </w:r>
    </w:p>
    <w:p w14:paraId="62D8E6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本项目</w:t>
      </w:r>
      <w:r>
        <w:rPr>
          <w:rFonts w:hint="eastAsia"/>
          <w:lang w:eastAsia="zh-CN"/>
        </w:rPr>
        <w:t>评标</w:t>
      </w:r>
      <w:r>
        <w:rPr>
          <w:rFonts w:hint="eastAsia"/>
        </w:rPr>
        <w:t>办法采取综合评分法。</w:t>
      </w:r>
      <w:r>
        <w:rPr>
          <w:rFonts w:hint="eastAsia"/>
          <w:lang w:val="en-US" w:eastAsia="zh-CN"/>
        </w:rPr>
        <w:t>评标小组</w:t>
      </w:r>
      <w:r>
        <w:rPr>
          <w:rFonts w:hint="eastAsia"/>
        </w:rPr>
        <w:t>对满足</w:t>
      </w:r>
      <w:r>
        <w:rPr>
          <w:rFonts w:hint="eastAsia"/>
          <w:lang w:val="en-US" w:eastAsia="zh-CN"/>
        </w:rPr>
        <w:t>符合性</w:t>
      </w:r>
      <w:r>
        <w:rPr>
          <w:rFonts w:hint="eastAsia"/>
        </w:rPr>
        <w:t>审查标准的</w:t>
      </w:r>
      <w:r>
        <w:rPr>
          <w:rFonts w:hint="eastAsia"/>
          <w:lang w:eastAsia="zh-CN"/>
        </w:rPr>
        <w:t>投标文件</w:t>
      </w:r>
      <w:r>
        <w:rPr>
          <w:rFonts w:hint="eastAsia"/>
        </w:rPr>
        <w:t>，按照详细</w:t>
      </w:r>
      <w:r>
        <w:rPr>
          <w:rFonts w:hint="eastAsia"/>
          <w:lang w:eastAsia="zh-CN"/>
        </w:rPr>
        <w:t>评标</w:t>
      </w:r>
      <w:r>
        <w:rPr>
          <w:rFonts w:hint="eastAsia"/>
        </w:rPr>
        <w:t>标准进行评分，按综合得分</w:t>
      </w:r>
      <w:r>
        <w:rPr>
          <w:rFonts w:hint="eastAsia"/>
          <w:lang w:eastAsia="zh-CN"/>
        </w:rPr>
        <w:t>排名最高分</w:t>
      </w:r>
      <w:r>
        <w:rPr>
          <w:rFonts w:hint="eastAsia"/>
        </w:rPr>
        <w:t>为中</w:t>
      </w:r>
      <w:r>
        <w:rPr>
          <w:rFonts w:hint="eastAsia"/>
          <w:lang w:val="en-US" w:eastAsia="zh-CN"/>
        </w:rPr>
        <w:t>标</w:t>
      </w:r>
      <w:r>
        <w:rPr>
          <w:rFonts w:hint="eastAsia"/>
        </w:rPr>
        <w:t>候选人。</w:t>
      </w:r>
      <w:r>
        <w:rPr>
          <w:rFonts w:hint="eastAsia"/>
          <w:lang w:eastAsia="zh-CN"/>
        </w:rPr>
        <w:t>评标</w:t>
      </w:r>
      <w:r>
        <w:rPr>
          <w:rFonts w:hint="eastAsia"/>
        </w:rPr>
        <w:t>程序如下：</w:t>
      </w:r>
    </w:p>
    <w:p w14:paraId="75D1AF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（一）</w:t>
      </w:r>
      <w:r>
        <w:rPr>
          <w:rFonts w:hint="eastAsia"/>
          <w:lang w:eastAsia="zh-CN"/>
        </w:rPr>
        <w:t>评标小组</w:t>
      </w:r>
      <w:r>
        <w:rPr>
          <w:rFonts w:hint="eastAsia"/>
        </w:rPr>
        <w:t>首先按照</w:t>
      </w:r>
      <w:r>
        <w:rPr>
          <w:rFonts w:hint="eastAsia"/>
          <w:lang w:val="en-US" w:eastAsia="zh-CN"/>
        </w:rPr>
        <w:t>符合性</w:t>
      </w:r>
      <w:r>
        <w:rPr>
          <w:rFonts w:hint="eastAsia"/>
        </w:rPr>
        <w:t>审查</w:t>
      </w:r>
      <w:r>
        <w:rPr>
          <w:rFonts w:hint="eastAsia"/>
          <w:lang w:val="en-US" w:eastAsia="zh-CN"/>
        </w:rPr>
        <w:t>表</w:t>
      </w:r>
      <w:r>
        <w:rPr>
          <w:rFonts w:hint="eastAsia"/>
        </w:rPr>
        <w:t>（见附</w:t>
      </w:r>
      <w:r>
        <w:rPr>
          <w:rFonts w:hint="eastAsia"/>
          <w:lang w:val="en-US" w:eastAsia="zh-CN"/>
        </w:rPr>
        <w:t>件一</w:t>
      </w:r>
      <w:r>
        <w:rPr>
          <w:rFonts w:hint="eastAsia"/>
        </w:rPr>
        <w:t>）对按要求递交</w:t>
      </w:r>
      <w:r>
        <w:rPr>
          <w:rFonts w:hint="eastAsia"/>
          <w:lang w:eastAsia="zh-CN"/>
        </w:rPr>
        <w:t>投标文件</w:t>
      </w:r>
      <w:r>
        <w:rPr>
          <w:rFonts w:hint="eastAsia"/>
        </w:rPr>
        <w:t>的</w:t>
      </w:r>
      <w:r>
        <w:rPr>
          <w:rFonts w:hint="eastAsia"/>
          <w:lang w:eastAsia="zh-CN"/>
        </w:rPr>
        <w:t>投标人</w:t>
      </w:r>
      <w:r>
        <w:rPr>
          <w:rFonts w:hint="eastAsia"/>
        </w:rPr>
        <w:t>进行初步审查，只有通过初步审查的</w:t>
      </w:r>
      <w:r>
        <w:rPr>
          <w:rFonts w:hint="eastAsia"/>
          <w:lang w:eastAsia="zh-CN"/>
        </w:rPr>
        <w:t>投标人</w:t>
      </w:r>
      <w:r>
        <w:rPr>
          <w:rFonts w:hint="eastAsia"/>
        </w:rPr>
        <w:t>才能进入下一阶段</w:t>
      </w:r>
      <w:r>
        <w:rPr>
          <w:rFonts w:hint="eastAsia"/>
          <w:lang w:eastAsia="zh-CN"/>
        </w:rPr>
        <w:t>评标</w:t>
      </w:r>
      <w:r>
        <w:rPr>
          <w:rFonts w:hint="eastAsia"/>
        </w:rPr>
        <w:t>。如</w:t>
      </w:r>
      <w:r>
        <w:rPr>
          <w:rFonts w:hint="eastAsia"/>
          <w:lang w:eastAsia="zh-CN"/>
        </w:rPr>
        <w:t>评标小组</w:t>
      </w:r>
      <w:r>
        <w:rPr>
          <w:rFonts w:hint="eastAsia"/>
        </w:rPr>
        <w:t>成员的</w:t>
      </w:r>
      <w:r>
        <w:rPr>
          <w:rFonts w:hint="eastAsia"/>
          <w:lang w:eastAsia="zh-CN"/>
        </w:rPr>
        <w:t>评标</w:t>
      </w:r>
      <w:r>
        <w:rPr>
          <w:rFonts w:hint="eastAsia"/>
        </w:rPr>
        <w:t>意见不一致时，以</w:t>
      </w:r>
      <w:r>
        <w:rPr>
          <w:rFonts w:hint="eastAsia"/>
          <w:lang w:eastAsia="zh-CN"/>
        </w:rPr>
        <w:t>评标小组</w:t>
      </w:r>
      <w:r>
        <w:rPr>
          <w:rFonts w:hint="eastAsia"/>
        </w:rPr>
        <w:t>过半数成员的意见作为</w:t>
      </w:r>
      <w:r>
        <w:rPr>
          <w:rFonts w:hint="eastAsia"/>
          <w:lang w:eastAsia="zh-CN"/>
        </w:rPr>
        <w:t>评标小组</w:t>
      </w:r>
      <w:r>
        <w:rPr>
          <w:rFonts w:hint="eastAsia"/>
        </w:rPr>
        <w:t>对该情形的认定结论。评委发现</w:t>
      </w:r>
      <w:r>
        <w:rPr>
          <w:rFonts w:hint="eastAsia"/>
          <w:lang w:eastAsia="zh-CN"/>
        </w:rPr>
        <w:t>投标文件</w:t>
      </w:r>
      <w:r>
        <w:rPr>
          <w:rFonts w:hint="eastAsia"/>
        </w:rPr>
        <w:t>中含义不明确、对同类问题表述不一致、有明显文字和计算错误的，应当要求</w:t>
      </w:r>
      <w:r>
        <w:rPr>
          <w:rFonts w:hint="eastAsia"/>
          <w:lang w:eastAsia="zh-CN"/>
        </w:rPr>
        <w:t>投标人</w:t>
      </w:r>
      <w:r>
        <w:rPr>
          <w:rFonts w:hint="eastAsia"/>
        </w:rPr>
        <w:t>作必要的澄清、说明后再判定</w:t>
      </w:r>
      <w:r>
        <w:rPr>
          <w:rFonts w:hint="eastAsia"/>
          <w:lang w:eastAsia="zh-CN"/>
        </w:rPr>
        <w:t>投标人</w:t>
      </w:r>
      <w:r>
        <w:rPr>
          <w:rFonts w:hint="eastAsia"/>
        </w:rPr>
        <w:t>是否通过初步审查，不得直接否决其</w:t>
      </w:r>
      <w:r>
        <w:rPr>
          <w:rFonts w:hint="eastAsia"/>
          <w:lang w:eastAsia="zh-CN"/>
        </w:rPr>
        <w:t>投标文件</w:t>
      </w:r>
      <w:r>
        <w:rPr>
          <w:rFonts w:hint="eastAsia"/>
        </w:rPr>
        <w:t>。</w:t>
      </w:r>
    </w:p>
    <w:p w14:paraId="112A65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（二）</w:t>
      </w:r>
      <w:r>
        <w:rPr>
          <w:rFonts w:hint="eastAsia"/>
        </w:rPr>
        <w:t>对通过</w:t>
      </w:r>
      <w:r>
        <w:rPr>
          <w:rFonts w:hint="eastAsia"/>
          <w:lang w:val="en-US" w:eastAsia="zh-CN"/>
        </w:rPr>
        <w:t>符合性</w:t>
      </w:r>
      <w:r>
        <w:rPr>
          <w:rFonts w:hint="eastAsia"/>
        </w:rPr>
        <w:t>审查的各</w:t>
      </w:r>
      <w:r>
        <w:rPr>
          <w:rFonts w:hint="eastAsia"/>
          <w:lang w:eastAsia="zh-CN"/>
        </w:rPr>
        <w:t>投标人</w:t>
      </w:r>
      <w:r>
        <w:rPr>
          <w:rFonts w:hint="eastAsia"/>
        </w:rPr>
        <w:t>报价进行算术校核。响应报价有算术错误的，</w:t>
      </w:r>
      <w:r>
        <w:rPr>
          <w:rFonts w:hint="eastAsia"/>
          <w:lang w:eastAsia="zh-CN"/>
        </w:rPr>
        <w:t>评标小组</w:t>
      </w:r>
      <w:r>
        <w:rPr>
          <w:rFonts w:hint="eastAsia"/>
        </w:rPr>
        <w:t>按以下原则对响应报价进行修正，修正的价格经</w:t>
      </w:r>
      <w:r>
        <w:rPr>
          <w:rFonts w:hint="eastAsia"/>
          <w:lang w:eastAsia="zh-CN"/>
        </w:rPr>
        <w:t>投标人</w:t>
      </w:r>
      <w:r>
        <w:rPr>
          <w:rFonts w:hint="eastAsia"/>
        </w:rPr>
        <w:t>确认后具有约束力。</w:t>
      </w:r>
      <w:r>
        <w:rPr>
          <w:rFonts w:hint="eastAsia"/>
          <w:lang w:eastAsia="zh-CN"/>
        </w:rPr>
        <w:t>投标人</w:t>
      </w:r>
      <w:r>
        <w:rPr>
          <w:rFonts w:hint="eastAsia"/>
        </w:rPr>
        <w:t>不接受修正价格的，</w:t>
      </w:r>
      <w:r>
        <w:rPr>
          <w:rFonts w:hint="eastAsia"/>
          <w:lang w:eastAsia="zh-CN"/>
        </w:rPr>
        <w:t>评标小组</w:t>
      </w:r>
      <w:r>
        <w:rPr>
          <w:rFonts w:hint="eastAsia"/>
        </w:rPr>
        <w:t>应当否决其响应。</w:t>
      </w:r>
    </w:p>
    <w:p w14:paraId="5C4730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1、</w:t>
      </w:r>
      <w:r>
        <w:rPr>
          <w:rFonts w:hint="eastAsia"/>
          <w:lang w:eastAsia="zh-CN"/>
        </w:rPr>
        <w:t>投标文件</w:t>
      </w:r>
      <w:r>
        <w:rPr>
          <w:rFonts w:hint="eastAsia"/>
        </w:rPr>
        <w:t>中的大写金额与小写金额不一致的，以大写金额为准。</w:t>
      </w:r>
    </w:p>
    <w:p w14:paraId="5A1116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w:t>
      </w:r>
      <w:r>
        <w:rPr>
          <w:rFonts w:hint="eastAsia"/>
        </w:rPr>
        <w:t>总价金额与依据单价计算出的结果不一致的，以单价金额为准修正总价，但单价金额小数点有明显错误的除外。</w:t>
      </w:r>
    </w:p>
    <w:p w14:paraId="0B7DE5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3、</w:t>
      </w:r>
      <w:r>
        <w:rPr>
          <w:rFonts w:hint="eastAsia"/>
        </w:rPr>
        <w:t>含税报价与所报税率计算出的不含税报价不一致的，以含税报价与税率为准，修正不含税报价。</w:t>
      </w:r>
    </w:p>
    <w:p w14:paraId="77D30A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（三）</w:t>
      </w:r>
      <w:r>
        <w:rPr>
          <w:rFonts w:hint="eastAsia"/>
          <w:lang w:eastAsia="zh-CN"/>
        </w:rPr>
        <w:t>评标小组</w:t>
      </w:r>
      <w:r>
        <w:rPr>
          <w:rFonts w:hint="eastAsia"/>
        </w:rPr>
        <w:t>对通过</w:t>
      </w:r>
      <w:r>
        <w:rPr>
          <w:rFonts w:hint="eastAsia"/>
          <w:lang w:val="en-US" w:eastAsia="zh-CN"/>
        </w:rPr>
        <w:t>符合性</w:t>
      </w:r>
      <w:r>
        <w:rPr>
          <w:rFonts w:hint="eastAsia"/>
        </w:rPr>
        <w:t>审查的</w:t>
      </w:r>
      <w:r>
        <w:rPr>
          <w:rFonts w:hint="eastAsia"/>
          <w:lang w:eastAsia="zh-CN"/>
        </w:rPr>
        <w:t>投标人</w:t>
      </w:r>
      <w:r>
        <w:rPr>
          <w:rFonts w:hint="eastAsia"/>
        </w:rPr>
        <w:t>按详细评</w:t>
      </w:r>
      <w:r>
        <w:rPr>
          <w:rFonts w:hint="eastAsia"/>
          <w:lang w:val="en-US" w:eastAsia="zh-CN"/>
        </w:rPr>
        <w:t>标</w:t>
      </w:r>
      <w:r>
        <w:rPr>
          <w:rFonts w:hint="eastAsia"/>
        </w:rPr>
        <w:t>标准（见</w:t>
      </w:r>
      <w:r>
        <w:rPr>
          <w:rFonts w:hint="eastAsia"/>
          <w:lang w:val="en-US" w:eastAsia="zh-CN"/>
        </w:rPr>
        <w:t>附件二</w:t>
      </w:r>
      <w:r>
        <w:rPr>
          <w:rFonts w:hint="eastAsia"/>
        </w:rPr>
        <w:t>）对各</w:t>
      </w:r>
      <w:r>
        <w:rPr>
          <w:rFonts w:hint="eastAsia"/>
          <w:lang w:eastAsia="zh-CN"/>
        </w:rPr>
        <w:t>投标人</w:t>
      </w:r>
      <w:r>
        <w:rPr>
          <w:rFonts w:hint="eastAsia"/>
        </w:rPr>
        <w:t>进行评分，</w:t>
      </w:r>
      <w:r>
        <w:rPr>
          <w:rFonts w:hint="eastAsia"/>
          <w:lang w:eastAsia="zh-CN"/>
        </w:rPr>
        <w:t>投标人</w:t>
      </w:r>
      <w:r>
        <w:rPr>
          <w:rFonts w:hint="eastAsia"/>
        </w:rPr>
        <w:t>综合得分为</w:t>
      </w:r>
      <w:r>
        <w:rPr>
          <w:rFonts w:hint="eastAsia"/>
          <w:lang w:eastAsia="zh-CN"/>
        </w:rPr>
        <w:t>评标小组</w:t>
      </w:r>
      <w:r>
        <w:rPr>
          <w:rFonts w:hint="eastAsia"/>
        </w:rPr>
        <w:t>各成员的算术平均值，得分精确到小数点后两位，第三位小数四舍五入。</w:t>
      </w:r>
    </w:p>
    <w:p w14:paraId="6A6ACE9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（四）</w:t>
      </w:r>
      <w:r>
        <w:rPr>
          <w:rFonts w:hint="eastAsia"/>
          <w:lang w:eastAsia="zh-CN"/>
        </w:rPr>
        <w:t>评标小组</w:t>
      </w:r>
      <w:r>
        <w:rPr>
          <w:rFonts w:hint="eastAsia"/>
        </w:rPr>
        <w:t>按</w:t>
      </w:r>
      <w:r>
        <w:rPr>
          <w:rFonts w:hint="eastAsia"/>
          <w:lang w:eastAsia="zh-CN"/>
        </w:rPr>
        <w:t>投标人</w:t>
      </w:r>
      <w:r>
        <w:rPr>
          <w:rFonts w:hint="eastAsia"/>
        </w:rPr>
        <w:t>的综合得分由高到低排序后，按综合得分</w:t>
      </w:r>
      <w:r>
        <w:rPr>
          <w:rFonts w:hint="eastAsia"/>
          <w:lang w:eastAsia="zh-CN"/>
        </w:rPr>
        <w:t>排名最高分</w:t>
      </w:r>
      <w:r>
        <w:rPr>
          <w:rFonts w:hint="eastAsia"/>
        </w:rPr>
        <w:t>为中</w:t>
      </w:r>
      <w:r>
        <w:rPr>
          <w:rFonts w:hint="eastAsia"/>
          <w:lang w:val="en-US" w:eastAsia="zh-CN"/>
        </w:rPr>
        <w:t>标</w:t>
      </w:r>
      <w:r>
        <w:rPr>
          <w:rFonts w:hint="eastAsia"/>
        </w:rPr>
        <w:t>候选人。综合得分相等时，以报价（含税）低的优先；报价（含税）也相等的，以技术部分得分高的优先；技术部分得分也相等的，由</w:t>
      </w:r>
      <w:r>
        <w:rPr>
          <w:rFonts w:hint="eastAsia"/>
          <w:lang w:eastAsia="zh-CN"/>
        </w:rPr>
        <w:t>评标小组</w:t>
      </w:r>
      <w:r>
        <w:rPr>
          <w:rFonts w:hint="eastAsia"/>
        </w:rPr>
        <w:t>采用记名投票的方式，以得票高排前的原则，确定中选候选人的排序。</w:t>
      </w:r>
    </w:p>
    <w:p w14:paraId="36ABA2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（五）</w:t>
      </w:r>
      <w:r>
        <w:rPr>
          <w:rFonts w:hint="eastAsia"/>
          <w:lang w:eastAsia="zh-CN"/>
        </w:rPr>
        <w:t>评标小组</w:t>
      </w:r>
      <w:r>
        <w:rPr>
          <w:rFonts w:hint="eastAsia"/>
        </w:rPr>
        <w:t>完成</w:t>
      </w:r>
      <w:r>
        <w:rPr>
          <w:rFonts w:hint="eastAsia"/>
          <w:lang w:eastAsia="zh-CN"/>
        </w:rPr>
        <w:t>评标</w:t>
      </w:r>
      <w:r>
        <w:rPr>
          <w:rFonts w:hint="eastAsia"/>
        </w:rPr>
        <w:t>后</w:t>
      </w:r>
      <w:r>
        <w:rPr>
          <w:rFonts w:hint="eastAsia"/>
          <w:color w:val="auto"/>
        </w:rPr>
        <w:t>，</w:t>
      </w:r>
      <w:r>
        <w:rPr>
          <w:rFonts w:hint="eastAsia" w:ascii="宋体" w:hAnsi="宋体" w:eastAsia="宋体" w:cs="Times New Roman"/>
          <w:b w:val="0"/>
          <w:color w:val="auto"/>
          <w:kern w:val="2"/>
          <w:sz w:val="21"/>
          <w:szCs w:val="21"/>
          <w:highlight w:val="none"/>
          <w:lang w:val="en-US" w:eastAsia="zh-CN" w:bidi="ar-SA"/>
        </w:rPr>
        <w:t>向招标工作领导小组提交评标报告，推荐中标候选人名单</w:t>
      </w:r>
      <w:r>
        <w:rPr>
          <w:rFonts w:hint="eastAsia"/>
          <w:color w:val="auto"/>
        </w:rPr>
        <w:t>。</w:t>
      </w:r>
    </w:p>
    <w:p w14:paraId="7A3EB4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p>
    <w:p w14:paraId="3AE799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eastAsia="zh-CN"/>
        </w:rPr>
        <w:t>（</w:t>
      </w:r>
      <w:r>
        <w:rPr>
          <w:rFonts w:hint="eastAsia"/>
          <w:lang w:val="en-US" w:eastAsia="zh-CN"/>
        </w:rPr>
        <w:t>六</w:t>
      </w:r>
      <w:r>
        <w:rPr>
          <w:rFonts w:hint="eastAsia"/>
          <w:lang w:eastAsia="zh-CN"/>
        </w:rPr>
        <w:t>）</w:t>
      </w:r>
      <w:r>
        <w:rPr>
          <w:rFonts w:hint="eastAsia"/>
        </w:rPr>
        <w:t>如果</w:t>
      </w:r>
      <w:r>
        <w:rPr>
          <w:rFonts w:hint="eastAsia"/>
          <w:lang w:eastAsia="zh-CN"/>
        </w:rPr>
        <w:t>评标小组</w:t>
      </w:r>
      <w:r>
        <w:rPr>
          <w:rFonts w:hint="eastAsia"/>
        </w:rPr>
        <w:t>发现</w:t>
      </w:r>
      <w:r>
        <w:rPr>
          <w:rFonts w:hint="eastAsia"/>
          <w:lang w:eastAsia="zh-CN"/>
        </w:rPr>
        <w:t>投标人</w:t>
      </w:r>
      <w:r>
        <w:rPr>
          <w:rFonts w:hint="eastAsia"/>
        </w:rPr>
        <w:t>的报价明显低于其他报价，使得其报价可能低于其个别成本的，有权要求该</w:t>
      </w:r>
      <w:r>
        <w:rPr>
          <w:rFonts w:hint="eastAsia"/>
          <w:lang w:eastAsia="zh-CN"/>
        </w:rPr>
        <w:t>投标人</w:t>
      </w:r>
      <w:r>
        <w:rPr>
          <w:rFonts w:hint="eastAsia"/>
        </w:rPr>
        <w:t>作书面说明并提供相关证明材料。</w:t>
      </w:r>
      <w:r>
        <w:rPr>
          <w:rFonts w:hint="eastAsia"/>
          <w:lang w:eastAsia="zh-CN"/>
        </w:rPr>
        <w:t>投标人</w:t>
      </w:r>
      <w:r>
        <w:rPr>
          <w:rFonts w:hint="eastAsia"/>
        </w:rPr>
        <w:t>不能合理说明或不能提供相关证明材料的，</w:t>
      </w:r>
      <w:r>
        <w:rPr>
          <w:rFonts w:hint="eastAsia"/>
          <w:lang w:eastAsia="zh-CN"/>
        </w:rPr>
        <w:t>评标小组</w:t>
      </w:r>
      <w:r>
        <w:rPr>
          <w:rFonts w:hint="eastAsia"/>
        </w:rPr>
        <w:t>将认定该</w:t>
      </w:r>
      <w:r>
        <w:rPr>
          <w:rFonts w:hint="eastAsia"/>
          <w:lang w:eastAsia="zh-CN"/>
        </w:rPr>
        <w:t>投标人</w:t>
      </w:r>
      <w:r>
        <w:rPr>
          <w:rFonts w:hint="eastAsia"/>
        </w:rPr>
        <w:t>以低于成本的报价竞标，其</w:t>
      </w:r>
      <w:r>
        <w:rPr>
          <w:rFonts w:hint="eastAsia"/>
          <w:lang w:eastAsia="zh-CN"/>
        </w:rPr>
        <w:t>投标文件</w:t>
      </w:r>
      <w:r>
        <w:rPr>
          <w:rFonts w:hint="eastAsia"/>
        </w:rPr>
        <w:t>作无效处理。</w:t>
      </w:r>
    </w:p>
    <w:p w14:paraId="530054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四、</w:t>
      </w:r>
      <w:r>
        <w:rPr>
          <w:rFonts w:hint="eastAsia"/>
          <w:lang w:eastAsia="zh-CN"/>
        </w:rPr>
        <w:t>投标文件</w:t>
      </w:r>
      <w:r>
        <w:rPr>
          <w:rFonts w:hint="eastAsia"/>
        </w:rPr>
        <w:t>的澄清和补正</w:t>
      </w:r>
    </w:p>
    <w:p w14:paraId="49F661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（一）</w:t>
      </w:r>
      <w:r>
        <w:rPr>
          <w:rFonts w:hint="eastAsia"/>
        </w:rPr>
        <w:t>为有助于</w:t>
      </w:r>
      <w:r>
        <w:rPr>
          <w:rFonts w:hint="eastAsia"/>
          <w:lang w:eastAsia="zh-CN"/>
        </w:rPr>
        <w:t>投标文件</w:t>
      </w:r>
      <w:r>
        <w:rPr>
          <w:rFonts w:hint="eastAsia"/>
        </w:rPr>
        <w:t>的审查、评价和比较，</w:t>
      </w:r>
      <w:r>
        <w:rPr>
          <w:rFonts w:hint="eastAsia"/>
          <w:lang w:eastAsia="zh-CN"/>
        </w:rPr>
        <w:t>评标</w:t>
      </w:r>
      <w:r>
        <w:rPr>
          <w:rFonts w:hint="eastAsia"/>
        </w:rPr>
        <w:t>期间，经</w:t>
      </w:r>
      <w:r>
        <w:rPr>
          <w:rFonts w:hint="eastAsia"/>
          <w:lang w:eastAsia="zh-CN"/>
        </w:rPr>
        <w:t>评标小组</w:t>
      </w:r>
      <w:r>
        <w:rPr>
          <w:rFonts w:hint="eastAsia"/>
        </w:rPr>
        <w:t>中过半数或以上成员以书面形式提出动议，</w:t>
      </w:r>
      <w:r>
        <w:rPr>
          <w:rFonts w:hint="eastAsia"/>
          <w:lang w:eastAsia="zh-CN"/>
        </w:rPr>
        <w:t>评标小组</w:t>
      </w:r>
      <w:r>
        <w:rPr>
          <w:rFonts w:hint="eastAsia"/>
        </w:rPr>
        <w:t>应当书面发出澄清通知，要求</w:t>
      </w:r>
      <w:r>
        <w:rPr>
          <w:rFonts w:hint="eastAsia"/>
          <w:lang w:eastAsia="zh-CN"/>
        </w:rPr>
        <w:t>投标人</w:t>
      </w:r>
      <w:r>
        <w:rPr>
          <w:rFonts w:hint="eastAsia"/>
        </w:rPr>
        <w:t>对</w:t>
      </w:r>
      <w:r>
        <w:rPr>
          <w:rFonts w:hint="eastAsia"/>
          <w:lang w:eastAsia="zh-CN"/>
        </w:rPr>
        <w:t>投标文件</w:t>
      </w:r>
      <w:r>
        <w:rPr>
          <w:rFonts w:hint="eastAsia"/>
        </w:rPr>
        <w:t>含义不明确的内容作出澄清。</w:t>
      </w:r>
    </w:p>
    <w:p w14:paraId="5F43D0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（二）</w:t>
      </w:r>
      <w:r>
        <w:rPr>
          <w:rFonts w:hint="eastAsia"/>
          <w:lang w:eastAsia="zh-CN"/>
        </w:rPr>
        <w:t>投标人</w:t>
      </w:r>
      <w:r>
        <w:rPr>
          <w:rFonts w:hint="eastAsia"/>
        </w:rPr>
        <w:t>应以书面形式进行澄清，澄清中的承诺性意思表示在</w:t>
      </w:r>
      <w:r>
        <w:rPr>
          <w:rFonts w:hint="eastAsia"/>
          <w:lang w:eastAsia="zh-CN"/>
        </w:rPr>
        <w:t>投标文件</w:t>
      </w:r>
      <w:r>
        <w:rPr>
          <w:rFonts w:hint="eastAsia"/>
        </w:rPr>
        <w:t>有效期内均对</w:t>
      </w:r>
      <w:r>
        <w:rPr>
          <w:rFonts w:hint="eastAsia"/>
          <w:lang w:eastAsia="zh-CN"/>
        </w:rPr>
        <w:t>投标人</w:t>
      </w:r>
      <w:r>
        <w:rPr>
          <w:rFonts w:hint="eastAsia"/>
        </w:rPr>
        <w:t>有约束力。除</w:t>
      </w:r>
      <w:r>
        <w:rPr>
          <w:rFonts w:hint="eastAsia"/>
          <w:lang w:eastAsia="zh-CN"/>
        </w:rPr>
        <w:t>评标小组</w:t>
      </w:r>
      <w:r>
        <w:rPr>
          <w:rFonts w:hint="eastAsia"/>
        </w:rPr>
        <w:t>对</w:t>
      </w:r>
      <w:r>
        <w:rPr>
          <w:rFonts w:hint="eastAsia"/>
          <w:lang w:eastAsia="zh-CN"/>
        </w:rPr>
        <w:t>评标</w:t>
      </w:r>
      <w:r>
        <w:rPr>
          <w:rFonts w:hint="eastAsia"/>
        </w:rPr>
        <w:t>中发现算术错误进行修正后要求</w:t>
      </w:r>
      <w:r>
        <w:rPr>
          <w:rFonts w:hint="eastAsia"/>
          <w:lang w:eastAsia="zh-CN"/>
        </w:rPr>
        <w:t>投标人</w:t>
      </w:r>
      <w:r>
        <w:rPr>
          <w:rFonts w:hint="eastAsia"/>
        </w:rPr>
        <w:t>以澄清形式进行的核实和确认外，澄清不得超出</w:t>
      </w:r>
      <w:r>
        <w:rPr>
          <w:rFonts w:hint="eastAsia"/>
          <w:lang w:eastAsia="zh-CN"/>
        </w:rPr>
        <w:t>投标文件</w:t>
      </w:r>
      <w:r>
        <w:rPr>
          <w:rFonts w:hint="eastAsia"/>
        </w:rPr>
        <w:t>的范围或改变</w:t>
      </w:r>
      <w:r>
        <w:rPr>
          <w:rFonts w:hint="eastAsia"/>
          <w:lang w:eastAsia="zh-CN"/>
        </w:rPr>
        <w:t>投标文件</w:t>
      </w:r>
      <w:r>
        <w:rPr>
          <w:rFonts w:hint="eastAsia"/>
        </w:rPr>
        <w:t>的实质性内容，超出部分不作为</w:t>
      </w:r>
      <w:r>
        <w:rPr>
          <w:rFonts w:hint="eastAsia"/>
          <w:lang w:eastAsia="zh-CN"/>
        </w:rPr>
        <w:t>评标小组</w:t>
      </w:r>
      <w:r>
        <w:rPr>
          <w:rFonts w:hint="eastAsia"/>
        </w:rPr>
        <w:t>相应</w:t>
      </w:r>
      <w:r>
        <w:rPr>
          <w:rFonts w:hint="eastAsia"/>
          <w:lang w:eastAsia="zh-CN"/>
        </w:rPr>
        <w:t>评标</w:t>
      </w:r>
      <w:r>
        <w:rPr>
          <w:rFonts w:hint="eastAsia"/>
        </w:rPr>
        <w:t>的依据。</w:t>
      </w:r>
    </w:p>
    <w:p w14:paraId="6D527C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eastAsia="zh-CN"/>
        </w:rPr>
        <w:t>（</w:t>
      </w:r>
      <w:r>
        <w:rPr>
          <w:rFonts w:hint="eastAsia"/>
          <w:lang w:val="en-US" w:eastAsia="zh-CN"/>
        </w:rPr>
        <w:t>三</w:t>
      </w:r>
      <w:r>
        <w:rPr>
          <w:rFonts w:hint="eastAsia"/>
          <w:lang w:eastAsia="zh-CN"/>
        </w:rPr>
        <w:t>）评标小组</w:t>
      </w:r>
      <w:r>
        <w:rPr>
          <w:rFonts w:hint="eastAsia"/>
        </w:rPr>
        <w:t>各成员均应当阅读</w:t>
      </w:r>
      <w:r>
        <w:rPr>
          <w:rFonts w:hint="eastAsia"/>
          <w:lang w:eastAsia="zh-CN"/>
        </w:rPr>
        <w:t>投标人</w:t>
      </w:r>
      <w:r>
        <w:rPr>
          <w:rFonts w:hint="eastAsia"/>
        </w:rPr>
        <w:t>的澄清，但应独立参考澄清对</w:t>
      </w:r>
      <w:r>
        <w:rPr>
          <w:rFonts w:hint="eastAsia"/>
          <w:lang w:eastAsia="zh-CN"/>
        </w:rPr>
        <w:t>投标文件</w:t>
      </w:r>
      <w:r>
        <w:rPr>
          <w:rFonts w:hint="eastAsia"/>
        </w:rPr>
        <w:t>进行</w:t>
      </w:r>
      <w:r>
        <w:rPr>
          <w:rFonts w:hint="eastAsia"/>
          <w:lang w:eastAsia="zh-CN"/>
        </w:rPr>
        <w:t>评标</w:t>
      </w:r>
      <w:r>
        <w:rPr>
          <w:rFonts w:hint="eastAsia"/>
        </w:rPr>
        <w:t>。</w:t>
      </w:r>
    </w:p>
    <w:p w14:paraId="17B69A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eastAsia="zh-CN"/>
        </w:rPr>
        <w:t>（</w:t>
      </w:r>
      <w:r>
        <w:rPr>
          <w:rFonts w:hint="eastAsia"/>
          <w:lang w:val="en-US" w:eastAsia="zh-CN"/>
        </w:rPr>
        <w:t>四</w:t>
      </w:r>
      <w:r>
        <w:rPr>
          <w:rFonts w:hint="eastAsia"/>
          <w:lang w:eastAsia="zh-CN"/>
        </w:rPr>
        <w:t>）</w:t>
      </w:r>
      <w:r>
        <w:rPr>
          <w:rFonts w:hint="eastAsia"/>
        </w:rPr>
        <w:t>如果</w:t>
      </w:r>
      <w:r>
        <w:rPr>
          <w:rFonts w:hint="eastAsia"/>
          <w:lang w:eastAsia="zh-CN"/>
        </w:rPr>
        <w:t>投标文件</w:t>
      </w:r>
      <w:r>
        <w:rPr>
          <w:rFonts w:hint="eastAsia"/>
        </w:rPr>
        <w:t>实质上不响应</w:t>
      </w:r>
      <w:r>
        <w:rPr>
          <w:rFonts w:hint="eastAsia"/>
          <w:lang w:val="en-US" w:eastAsia="zh-CN"/>
        </w:rPr>
        <w:t>招标</w:t>
      </w:r>
      <w:r>
        <w:rPr>
          <w:rFonts w:hint="eastAsia"/>
        </w:rPr>
        <w:t>文件的各项要求，</w:t>
      </w:r>
      <w:r>
        <w:rPr>
          <w:rFonts w:hint="eastAsia"/>
          <w:lang w:eastAsia="zh-CN"/>
        </w:rPr>
        <w:t>评标小组</w:t>
      </w:r>
      <w:r>
        <w:rPr>
          <w:rFonts w:hint="eastAsia"/>
        </w:rPr>
        <w:t>相应</w:t>
      </w:r>
      <w:r>
        <w:rPr>
          <w:rFonts w:hint="eastAsia"/>
          <w:lang w:eastAsia="zh-CN"/>
        </w:rPr>
        <w:t>评标</w:t>
      </w:r>
      <w:r>
        <w:rPr>
          <w:rFonts w:hint="eastAsia"/>
        </w:rPr>
        <w:t>将按照</w:t>
      </w:r>
      <w:r>
        <w:rPr>
          <w:rFonts w:hint="eastAsia"/>
          <w:lang w:val="en-US" w:eastAsia="zh-CN"/>
        </w:rPr>
        <w:t>符合性</w:t>
      </w:r>
      <w:r>
        <w:rPr>
          <w:rFonts w:hint="eastAsia"/>
        </w:rPr>
        <w:t>审查标准予以拒绝，不接受</w:t>
      </w:r>
      <w:r>
        <w:rPr>
          <w:rFonts w:hint="eastAsia"/>
          <w:lang w:eastAsia="zh-CN"/>
        </w:rPr>
        <w:t>投标人</w:t>
      </w:r>
      <w:r>
        <w:rPr>
          <w:rFonts w:hint="eastAsia"/>
        </w:rPr>
        <w:t>通过修改或撤销其不符合要求的差异或保留，使之成为具有响应性的文件。</w:t>
      </w:r>
    </w:p>
    <w:p w14:paraId="419FC9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lang w:val="en-US" w:eastAsia="zh-CN"/>
        </w:rPr>
        <w:t>五、</w:t>
      </w:r>
      <w:r>
        <w:rPr>
          <w:rFonts w:hint="eastAsia"/>
        </w:rPr>
        <w:t>定</w:t>
      </w:r>
      <w:r>
        <w:rPr>
          <w:rFonts w:hint="eastAsia"/>
          <w:lang w:val="en-US" w:eastAsia="zh-CN"/>
        </w:rPr>
        <w:t>标</w:t>
      </w:r>
    </w:p>
    <w:p w14:paraId="096AF7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eastAsia="zh-CN"/>
        </w:rPr>
        <w:t>招标人</w:t>
      </w:r>
      <w:r>
        <w:rPr>
          <w:rFonts w:hint="eastAsia"/>
        </w:rPr>
        <w:t>依据</w:t>
      </w:r>
      <w:r>
        <w:rPr>
          <w:rFonts w:hint="eastAsia"/>
          <w:lang w:eastAsia="zh-CN"/>
        </w:rPr>
        <w:t>评标小组</w:t>
      </w:r>
      <w:r>
        <w:rPr>
          <w:rFonts w:hint="eastAsia"/>
        </w:rPr>
        <w:t>的</w:t>
      </w:r>
      <w:r>
        <w:rPr>
          <w:rFonts w:hint="eastAsia"/>
          <w:lang w:eastAsia="zh-CN"/>
        </w:rPr>
        <w:t>评标</w:t>
      </w:r>
      <w:r>
        <w:rPr>
          <w:rFonts w:hint="eastAsia"/>
        </w:rPr>
        <w:t>结果依法确定中</w:t>
      </w:r>
      <w:r>
        <w:rPr>
          <w:rFonts w:hint="eastAsia"/>
          <w:lang w:val="en-US" w:eastAsia="zh-CN"/>
        </w:rPr>
        <w:t>标</w:t>
      </w:r>
      <w:r>
        <w:rPr>
          <w:rFonts w:hint="eastAsia"/>
        </w:rPr>
        <w:t>人，并以书面形式向中选人发出中</w:t>
      </w:r>
      <w:r>
        <w:rPr>
          <w:rFonts w:hint="eastAsia"/>
          <w:lang w:val="en-US" w:eastAsia="zh-CN"/>
        </w:rPr>
        <w:t>标通</w:t>
      </w:r>
      <w:r>
        <w:rPr>
          <w:rFonts w:hint="eastAsia"/>
        </w:rPr>
        <w:t>知书。</w:t>
      </w:r>
    </w:p>
    <w:p w14:paraId="68C1F9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六、</w:t>
      </w:r>
      <w:r>
        <w:rPr>
          <w:rFonts w:hint="eastAsia"/>
        </w:rPr>
        <w:t>其他</w:t>
      </w:r>
    </w:p>
    <w:p w14:paraId="395024B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sectPr>
          <w:footerReference r:id="rId3" w:type="default"/>
          <w:pgSz w:w="11910" w:h="16840"/>
          <w:pgMar w:top="1440" w:right="1800" w:bottom="1440" w:left="1800" w:header="0" w:footer="993" w:gutter="0"/>
          <w:pgNumType w:fmt="decimal"/>
          <w:cols w:space="720" w:num="1"/>
        </w:sectPr>
      </w:pPr>
      <w:r>
        <w:rPr>
          <w:rFonts w:hint="eastAsia"/>
          <w:lang w:val="en-US" w:eastAsia="zh-CN"/>
        </w:rPr>
        <w:t>（一）</w:t>
      </w:r>
      <w:r>
        <w:rPr>
          <w:rFonts w:hint="eastAsia"/>
        </w:rPr>
        <w:t>本</w:t>
      </w:r>
      <w:r>
        <w:rPr>
          <w:rFonts w:hint="eastAsia"/>
          <w:lang w:val="en-US" w:eastAsia="zh-CN"/>
        </w:rPr>
        <w:t>项目满</w:t>
      </w:r>
      <w:r>
        <w:rPr>
          <w:rFonts w:hint="eastAsia"/>
        </w:rPr>
        <w:t>足</w:t>
      </w:r>
      <w:r>
        <w:rPr>
          <w:rFonts w:hint="eastAsia"/>
          <w:lang w:val="en-US" w:eastAsia="zh-CN"/>
        </w:rPr>
        <w:t>符合性</w:t>
      </w:r>
      <w:r>
        <w:rPr>
          <w:rFonts w:hint="eastAsia"/>
        </w:rPr>
        <w:t>审查的</w:t>
      </w:r>
      <w:r>
        <w:rPr>
          <w:rFonts w:hint="eastAsia"/>
          <w:lang w:eastAsia="zh-CN"/>
        </w:rPr>
        <w:t>投标人</w:t>
      </w:r>
      <w:r>
        <w:rPr>
          <w:rFonts w:hint="eastAsia"/>
        </w:rPr>
        <w:t>不足 3 名或经</w:t>
      </w:r>
      <w:r>
        <w:rPr>
          <w:rFonts w:hint="eastAsia"/>
          <w:lang w:eastAsia="zh-CN"/>
        </w:rPr>
        <w:t>评标</w:t>
      </w:r>
      <w:r>
        <w:rPr>
          <w:rFonts w:hint="eastAsia"/>
        </w:rPr>
        <w:t>有效的</w:t>
      </w:r>
      <w:r>
        <w:rPr>
          <w:rFonts w:hint="eastAsia"/>
          <w:lang w:eastAsia="zh-CN"/>
        </w:rPr>
        <w:t>投标人</w:t>
      </w:r>
      <w:r>
        <w:rPr>
          <w:rFonts w:hint="eastAsia"/>
        </w:rPr>
        <w:t>不足 3 名时为</w:t>
      </w:r>
      <w:r>
        <w:rPr>
          <w:rFonts w:hint="eastAsia"/>
          <w:lang w:val="en-US" w:eastAsia="zh-CN"/>
        </w:rPr>
        <w:t>招标</w:t>
      </w:r>
      <w:r>
        <w:rPr>
          <w:rFonts w:hint="eastAsia"/>
        </w:rPr>
        <w:t>失败，</w:t>
      </w:r>
      <w:r>
        <w:rPr>
          <w:rFonts w:hint="eastAsia"/>
          <w:lang w:eastAsia="zh-CN"/>
        </w:rPr>
        <w:t>招标人</w:t>
      </w:r>
      <w:r>
        <w:rPr>
          <w:rFonts w:hint="eastAsia"/>
        </w:rPr>
        <w:t>重新</w:t>
      </w:r>
      <w:r>
        <w:rPr>
          <w:rFonts w:hint="eastAsia"/>
          <w:lang w:val="en-US" w:eastAsia="zh-CN"/>
        </w:rPr>
        <w:t>组织招标</w:t>
      </w:r>
      <w:r>
        <w:rPr>
          <w:rFonts w:hint="eastAsia"/>
        </w:rPr>
        <w:t>。</w:t>
      </w:r>
    </w:p>
    <w:p w14:paraId="6B88CBFB">
      <w:pPr>
        <w:pStyle w:val="4"/>
        <w:rPr>
          <w:rFonts w:hint="eastAsia"/>
          <w:color w:val="auto"/>
          <w:highlight w:val="none"/>
        </w:rPr>
      </w:pPr>
      <w:r>
        <w:rPr>
          <w:rFonts w:hint="eastAsia"/>
          <w:color w:val="auto"/>
          <w:highlight w:val="none"/>
        </w:rPr>
        <w:t>附表1：</w:t>
      </w:r>
      <w:r>
        <w:rPr>
          <w:rFonts w:hint="eastAsia"/>
          <w:color w:val="auto"/>
          <w:highlight w:val="none"/>
          <w:lang w:eastAsia="zh-CN"/>
        </w:rPr>
        <w:t>符合性审查表</w:t>
      </w:r>
      <w:r>
        <w:rPr>
          <w:rFonts w:hint="eastAsia"/>
          <w:color w:val="auto"/>
          <w:highlight w:val="none"/>
        </w:rPr>
        <w:t>（注：本表不需要投标人填写）</w:t>
      </w:r>
    </w:p>
    <w:p w14:paraId="6D6B7B22">
      <w:pPr>
        <w:rPr>
          <w:rFonts w:hint="eastAsia" w:ascii="宋体" w:hAnsi="宋体"/>
          <w:color w:val="auto"/>
          <w:szCs w:val="21"/>
          <w:highlight w:val="none"/>
        </w:rPr>
      </w:pPr>
    </w:p>
    <w:p w14:paraId="3CF088E4">
      <w:pPr>
        <w:spacing w:after="120"/>
        <w:jc w:val="center"/>
        <w:rPr>
          <w:rFonts w:hint="eastAsia" w:eastAsia="宋体"/>
          <w:i/>
          <w:color w:val="auto"/>
          <w:sz w:val="24"/>
          <w:szCs w:val="24"/>
          <w:highlight w:val="none"/>
          <w:lang w:eastAsia="zh-CN"/>
        </w:rPr>
      </w:pPr>
      <w:r>
        <w:rPr>
          <w:rFonts w:hint="eastAsia" w:ascii="宋体" w:hAnsi="宋体"/>
          <w:color w:val="auto"/>
          <w:szCs w:val="21"/>
          <w:highlight w:val="none"/>
        </w:rPr>
        <w:tab/>
      </w:r>
      <w:r>
        <w:rPr>
          <w:rFonts w:hint="eastAsia"/>
          <w:b/>
          <w:color w:val="auto"/>
          <w:sz w:val="24"/>
          <w:szCs w:val="24"/>
          <w:highlight w:val="none"/>
          <w:lang w:eastAsia="zh-CN"/>
        </w:rPr>
        <w:t>符合性审查表</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8"/>
        <w:gridCol w:w="8269"/>
      </w:tblGrid>
      <w:tr w14:paraId="135DF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1048" w:type="dxa"/>
          </w:tcPr>
          <w:p w14:paraId="0D25FC45">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8269" w:type="dxa"/>
          </w:tcPr>
          <w:p w14:paraId="01C14840">
            <w:pPr>
              <w:jc w:val="center"/>
              <w:rPr>
                <w:color w:val="auto"/>
                <w:szCs w:val="21"/>
                <w:highlight w:val="none"/>
              </w:rPr>
            </w:pPr>
            <w:r>
              <w:rPr>
                <w:rFonts w:hint="eastAsia"/>
                <w:color w:val="auto"/>
                <w:szCs w:val="21"/>
                <w:highlight w:val="none"/>
                <w:lang w:eastAsia="zh-CN"/>
              </w:rPr>
              <w:t>评标</w:t>
            </w:r>
            <w:r>
              <w:rPr>
                <w:rFonts w:hint="eastAsia"/>
                <w:color w:val="auto"/>
                <w:szCs w:val="21"/>
                <w:highlight w:val="none"/>
              </w:rPr>
              <w:t>项目</w:t>
            </w:r>
          </w:p>
        </w:tc>
      </w:tr>
      <w:tr w14:paraId="69887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2ACCF8DF">
            <w:pPr>
              <w:jc w:val="center"/>
              <w:rPr>
                <w:rFonts w:hint="eastAsia" w:ascii="宋体" w:hAnsi="宋体"/>
                <w:color w:val="auto"/>
                <w:szCs w:val="21"/>
                <w:highlight w:val="none"/>
              </w:rPr>
            </w:pPr>
            <w:bookmarkStart w:id="20" w:name="OLE_LINK1" w:colFirst="1" w:colLast="1"/>
            <w:r>
              <w:rPr>
                <w:rFonts w:ascii="宋体" w:hAnsi="宋体"/>
                <w:color w:val="auto"/>
                <w:szCs w:val="21"/>
                <w:highlight w:val="none"/>
              </w:rPr>
              <w:t>1</w:t>
            </w:r>
          </w:p>
        </w:tc>
        <w:tc>
          <w:tcPr>
            <w:tcW w:w="8269" w:type="dxa"/>
            <w:vAlign w:val="center"/>
          </w:tcPr>
          <w:p w14:paraId="60703074">
            <w:pPr>
              <w:jc w:val="both"/>
              <w:rPr>
                <w:rFonts w:hint="eastAsia" w:ascii="宋体" w:hAnsi="宋体"/>
                <w:color w:val="auto"/>
                <w:szCs w:val="21"/>
                <w:highlight w:val="none"/>
              </w:rPr>
            </w:pPr>
            <w:r>
              <w:rPr>
                <w:rFonts w:hint="eastAsia" w:ascii="宋体" w:hAnsi="宋体"/>
                <w:color w:val="auto"/>
                <w:szCs w:val="21"/>
                <w:highlight w:val="none"/>
              </w:rPr>
              <w:t>投标人符合合格投标人的基本条件</w:t>
            </w:r>
          </w:p>
        </w:tc>
      </w:tr>
      <w:tr w14:paraId="1B6004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3AA35256">
            <w:pPr>
              <w:jc w:val="center"/>
              <w:rPr>
                <w:rFonts w:hint="eastAsia" w:ascii="宋体" w:hAnsi="宋体"/>
                <w:color w:val="auto"/>
                <w:szCs w:val="21"/>
                <w:highlight w:val="none"/>
              </w:rPr>
            </w:pPr>
            <w:r>
              <w:rPr>
                <w:rFonts w:hint="eastAsia" w:ascii="宋体" w:hAnsi="宋体"/>
                <w:color w:val="auto"/>
                <w:szCs w:val="21"/>
                <w:highlight w:val="none"/>
              </w:rPr>
              <w:t>2</w:t>
            </w:r>
          </w:p>
        </w:tc>
        <w:tc>
          <w:tcPr>
            <w:tcW w:w="8269" w:type="dxa"/>
            <w:vAlign w:val="center"/>
          </w:tcPr>
          <w:p w14:paraId="5D341E52">
            <w:pPr>
              <w:jc w:val="both"/>
              <w:rPr>
                <w:rFonts w:hint="eastAsia" w:ascii="宋体" w:hAnsi="宋体"/>
                <w:color w:val="auto"/>
                <w:szCs w:val="21"/>
                <w:highlight w:val="none"/>
              </w:rPr>
            </w:pPr>
            <w:r>
              <w:rPr>
                <w:rFonts w:hint="eastAsia" w:ascii="宋体" w:hAnsi="宋体"/>
                <w:color w:val="auto"/>
                <w:szCs w:val="21"/>
                <w:highlight w:val="none"/>
              </w:rPr>
              <w:t>投标函及投标有效期符合要求</w:t>
            </w:r>
          </w:p>
        </w:tc>
      </w:tr>
      <w:tr w14:paraId="0DBC9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560F569A">
            <w:pPr>
              <w:jc w:val="center"/>
              <w:rPr>
                <w:rFonts w:hint="eastAsia" w:ascii="宋体" w:hAnsi="宋体"/>
                <w:color w:val="auto"/>
                <w:szCs w:val="21"/>
                <w:highlight w:val="none"/>
              </w:rPr>
            </w:pPr>
            <w:r>
              <w:rPr>
                <w:rFonts w:ascii="宋体" w:hAnsi="宋体"/>
                <w:color w:val="auto"/>
                <w:szCs w:val="21"/>
                <w:highlight w:val="none"/>
              </w:rPr>
              <w:t>3</w:t>
            </w:r>
          </w:p>
        </w:tc>
        <w:tc>
          <w:tcPr>
            <w:tcW w:w="8269" w:type="dxa"/>
            <w:vAlign w:val="center"/>
          </w:tcPr>
          <w:p w14:paraId="6B72168B">
            <w:pPr>
              <w:jc w:val="both"/>
              <w:rPr>
                <w:rFonts w:hint="eastAsia" w:ascii="宋体" w:hAnsi="宋体"/>
                <w:color w:val="auto"/>
                <w:szCs w:val="21"/>
                <w:highlight w:val="none"/>
              </w:rPr>
            </w:pPr>
            <w:r>
              <w:rPr>
                <w:rFonts w:hint="eastAsia" w:ascii="宋体" w:hAnsi="宋体"/>
                <w:color w:val="auto"/>
                <w:szCs w:val="21"/>
                <w:highlight w:val="none"/>
              </w:rPr>
              <w:t>已提交有效的法定代表人</w:t>
            </w:r>
            <w:r>
              <w:rPr>
                <w:rFonts w:ascii="宋体" w:hAnsi="宋体"/>
                <w:color w:val="auto"/>
                <w:szCs w:val="21"/>
                <w:highlight w:val="none"/>
              </w:rPr>
              <w:t>/负责人授权委托书（投标签字代表为授权代表时）</w:t>
            </w:r>
          </w:p>
        </w:tc>
      </w:tr>
      <w:tr w14:paraId="715E2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400223D6">
            <w:pPr>
              <w:jc w:val="center"/>
              <w:rPr>
                <w:rFonts w:hint="eastAsia" w:ascii="宋体" w:hAnsi="宋体"/>
                <w:color w:val="auto"/>
                <w:szCs w:val="21"/>
                <w:highlight w:val="none"/>
              </w:rPr>
            </w:pPr>
            <w:r>
              <w:rPr>
                <w:rFonts w:ascii="宋体" w:hAnsi="宋体"/>
                <w:color w:val="auto"/>
                <w:szCs w:val="21"/>
                <w:highlight w:val="none"/>
              </w:rPr>
              <w:t>4</w:t>
            </w:r>
          </w:p>
        </w:tc>
        <w:tc>
          <w:tcPr>
            <w:tcW w:w="8269" w:type="dxa"/>
            <w:vAlign w:val="center"/>
          </w:tcPr>
          <w:p w14:paraId="1DA9A42D">
            <w:pPr>
              <w:jc w:val="both"/>
              <w:rPr>
                <w:rFonts w:hint="eastAsia" w:ascii="宋体" w:hAnsi="宋体"/>
                <w:color w:val="auto"/>
                <w:szCs w:val="21"/>
                <w:highlight w:val="none"/>
              </w:rPr>
            </w:pPr>
            <w:r>
              <w:rPr>
                <w:rFonts w:hint="eastAsia" w:ascii="宋体" w:hAnsi="宋体"/>
                <w:color w:val="auto"/>
                <w:szCs w:val="21"/>
                <w:highlight w:val="none"/>
              </w:rPr>
              <w:t>投标保证金符合要求</w:t>
            </w:r>
          </w:p>
        </w:tc>
      </w:tr>
      <w:tr w14:paraId="35AFD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653A6862">
            <w:pPr>
              <w:jc w:val="center"/>
              <w:rPr>
                <w:rFonts w:hint="eastAsia" w:ascii="宋体" w:hAnsi="宋体"/>
                <w:color w:val="auto"/>
                <w:szCs w:val="21"/>
                <w:highlight w:val="none"/>
              </w:rPr>
            </w:pPr>
            <w:r>
              <w:rPr>
                <w:rFonts w:ascii="宋体" w:hAnsi="宋体"/>
                <w:color w:val="auto"/>
                <w:szCs w:val="21"/>
                <w:highlight w:val="none"/>
              </w:rPr>
              <w:t>5</w:t>
            </w:r>
          </w:p>
        </w:tc>
        <w:tc>
          <w:tcPr>
            <w:tcW w:w="8269" w:type="dxa"/>
            <w:vAlign w:val="center"/>
          </w:tcPr>
          <w:p w14:paraId="561228FB">
            <w:pPr>
              <w:jc w:val="both"/>
              <w:rPr>
                <w:rFonts w:hint="eastAsia" w:ascii="宋体" w:hAnsi="宋体"/>
                <w:color w:val="auto"/>
                <w:szCs w:val="21"/>
                <w:highlight w:val="none"/>
              </w:rPr>
            </w:pPr>
            <w:r>
              <w:rPr>
                <w:rFonts w:hint="eastAsia" w:ascii="宋体" w:hAnsi="宋体"/>
                <w:color w:val="auto"/>
                <w:szCs w:val="21"/>
                <w:highlight w:val="none"/>
              </w:rPr>
              <w:t>投标报价无重大漏项或重大不合理，且不高于最高限价</w:t>
            </w:r>
          </w:p>
        </w:tc>
      </w:tr>
      <w:tr w14:paraId="086B1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697B0EE1">
            <w:pPr>
              <w:jc w:val="center"/>
              <w:rPr>
                <w:rFonts w:hint="eastAsia" w:ascii="宋体" w:hAnsi="宋体"/>
                <w:color w:val="auto"/>
                <w:szCs w:val="21"/>
                <w:highlight w:val="none"/>
              </w:rPr>
            </w:pPr>
            <w:r>
              <w:rPr>
                <w:rFonts w:ascii="宋体" w:hAnsi="宋体"/>
                <w:color w:val="auto"/>
                <w:szCs w:val="21"/>
                <w:highlight w:val="none"/>
              </w:rPr>
              <w:t>6</w:t>
            </w:r>
          </w:p>
        </w:tc>
        <w:tc>
          <w:tcPr>
            <w:tcW w:w="8269" w:type="dxa"/>
            <w:vAlign w:val="center"/>
          </w:tcPr>
          <w:p w14:paraId="65D7F284">
            <w:pPr>
              <w:jc w:val="both"/>
              <w:rPr>
                <w:rFonts w:hint="eastAsia"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lang w:val="en-US" w:eastAsia="zh-CN"/>
              </w:rPr>
              <w:t>未</w:t>
            </w:r>
            <w:r>
              <w:rPr>
                <w:rFonts w:hint="eastAsia" w:ascii="宋体" w:hAnsi="宋体"/>
                <w:color w:val="auto"/>
                <w:szCs w:val="21"/>
                <w:highlight w:val="none"/>
              </w:rPr>
              <w:t>递交两份或多份内容不同的投标文件，</w:t>
            </w:r>
            <w:r>
              <w:rPr>
                <w:rFonts w:hint="eastAsia" w:ascii="宋体" w:hAnsi="宋体"/>
                <w:color w:val="auto"/>
                <w:szCs w:val="21"/>
                <w:highlight w:val="none"/>
                <w:lang w:val="en-US" w:eastAsia="zh-CN"/>
              </w:rPr>
              <w:t>未</w:t>
            </w:r>
            <w:r>
              <w:rPr>
                <w:rFonts w:hint="eastAsia" w:ascii="宋体" w:hAnsi="宋体"/>
                <w:color w:val="auto"/>
                <w:szCs w:val="21"/>
                <w:highlight w:val="none"/>
              </w:rPr>
              <w:t>在一份投标文件中对同一招标货物有两个或多个报价</w:t>
            </w:r>
          </w:p>
        </w:tc>
      </w:tr>
      <w:tr w14:paraId="54F6C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58B364C5">
            <w:pPr>
              <w:jc w:val="center"/>
              <w:rPr>
                <w:rFonts w:hint="eastAsia" w:ascii="宋体" w:hAnsi="宋体"/>
                <w:color w:val="auto"/>
                <w:szCs w:val="21"/>
                <w:highlight w:val="none"/>
              </w:rPr>
            </w:pPr>
            <w:r>
              <w:rPr>
                <w:rFonts w:ascii="宋体" w:hAnsi="宋体"/>
                <w:color w:val="auto"/>
                <w:szCs w:val="21"/>
                <w:highlight w:val="none"/>
              </w:rPr>
              <w:t>7</w:t>
            </w:r>
          </w:p>
        </w:tc>
        <w:tc>
          <w:tcPr>
            <w:tcW w:w="8269" w:type="dxa"/>
            <w:vAlign w:val="center"/>
          </w:tcPr>
          <w:p w14:paraId="0ED1C79C">
            <w:pPr>
              <w:jc w:val="both"/>
              <w:rPr>
                <w:rFonts w:hint="eastAsia" w:ascii="宋体" w:hAnsi="宋体"/>
                <w:color w:val="auto"/>
                <w:szCs w:val="21"/>
                <w:highlight w:val="none"/>
              </w:rPr>
            </w:pPr>
            <w:r>
              <w:rPr>
                <w:rFonts w:hint="eastAsia" w:ascii="宋体" w:hAnsi="宋体"/>
                <w:color w:val="auto"/>
                <w:szCs w:val="21"/>
                <w:highlight w:val="none"/>
              </w:rPr>
              <w:t>单位负责人为同一人或者存在控股、管理关系的不同单位，不得同时参加本项目投标</w:t>
            </w:r>
          </w:p>
        </w:tc>
      </w:tr>
      <w:tr w14:paraId="496BC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3FFF2DF0">
            <w:pPr>
              <w:jc w:val="center"/>
              <w:rPr>
                <w:rFonts w:hint="eastAsia" w:ascii="宋体" w:hAnsi="宋体"/>
                <w:color w:val="auto"/>
                <w:szCs w:val="21"/>
                <w:highlight w:val="none"/>
              </w:rPr>
            </w:pPr>
            <w:r>
              <w:rPr>
                <w:rFonts w:ascii="宋体" w:hAnsi="宋体"/>
                <w:color w:val="auto"/>
                <w:szCs w:val="21"/>
                <w:highlight w:val="none"/>
              </w:rPr>
              <w:t>8</w:t>
            </w:r>
          </w:p>
        </w:tc>
        <w:tc>
          <w:tcPr>
            <w:tcW w:w="8269" w:type="dxa"/>
            <w:vAlign w:val="center"/>
          </w:tcPr>
          <w:p w14:paraId="7572D9EC">
            <w:pPr>
              <w:jc w:val="both"/>
              <w:rPr>
                <w:rFonts w:hint="eastAsia" w:ascii="宋体" w:hAnsi="宋体"/>
                <w:color w:val="auto"/>
                <w:szCs w:val="21"/>
                <w:highlight w:val="none"/>
              </w:rPr>
            </w:pPr>
            <w:r>
              <w:rPr>
                <w:rFonts w:hint="eastAsia" w:ascii="宋体" w:hAnsi="宋体"/>
                <w:color w:val="auto"/>
                <w:szCs w:val="21"/>
                <w:highlight w:val="none"/>
              </w:rPr>
              <w:t>加星号（★）条款满足要求</w:t>
            </w:r>
          </w:p>
        </w:tc>
      </w:tr>
      <w:tr w14:paraId="0C648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33AD2921">
            <w:pPr>
              <w:jc w:val="center"/>
              <w:rPr>
                <w:rFonts w:hint="eastAsia" w:ascii="宋体" w:hAnsi="宋体"/>
                <w:color w:val="auto"/>
                <w:szCs w:val="21"/>
                <w:highlight w:val="none"/>
              </w:rPr>
            </w:pPr>
            <w:r>
              <w:rPr>
                <w:rFonts w:ascii="宋体" w:hAnsi="宋体"/>
                <w:color w:val="auto"/>
                <w:szCs w:val="21"/>
                <w:highlight w:val="none"/>
              </w:rPr>
              <w:t>9</w:t>
            </w:r>
          </w:p>
        </w:tc>
        <w:tc>
          <w:tcPr>
            <w:tcW w:w="8269" w:type="dxa"/>
            <w:vAlign w:val="center"/>
          </w:tcPr>
          <w:p w14:paraId="49C3CAF0">
            <w:pPr>
              <w:jc w:val="both"/>
              <w:rPr>
                <w:rFonts w:hint="eastAsia" w:ascii="宋体" w:hAnsi="宋体"/>
                <w:color w:val="auto"/>
                <w:szCs w:val="21"/>
                <w:highlight w:val="none"/>
              </w:rPr>
            </w:pPr>
            <w:r>
              <w:rPr>
                <w:rFonts w:hint="eastAsia" w:ascii="宋体" w:hAnsi="宋体"/>
                <w:color w:val="auto"/>
                <w:szCs w:val="21"/>
                <w:highlight w:val="none"/>
              </w:rPr>
              <w:t>投标文件没有招标人不能接受的附加条件</w:t>
            </w:r>
          </w:p>
        </w:tc>
      </w:tr>
      <w:tr w14:paraId="170274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1048" w:type="dxa"/>
          </w:tcPr>
          <w:p w14:paraId="78904314">
            <w:pPr>
              <w:jc w:val="center"/>
              <w:rPr>
                <w:rFonts w:hint="eastAsia" w:ascii="宋体" w:hAnsi="宋体"/>
                <w:color w:val="auto"/>
                <w:szCs w:val="21"/>
                <w:highlight w:val="none"/>
              </w:rPr>
            </w:pPr>
            <w:r>
              <w:rPr>
                <w:rFonts w:hint="eastAsia" w:ascii="宋体" w:hAnsi="宋体"/>
                <w:color w:val="auto"/>
                <w:szCs w:val="21"/>
                <w:highlight w:val="none"/>
              </w:rPr>
              <w:t>10</w:t>
            </w:r>
          </w:p>
        </w:tc>
        <w:tc>
          <w:tcPr>
            <w:tcW w:w="8269" w:type="dxa"/>
            <w:vAlign w:val="center"/>
          </w:tcPr>
          <w:p w14:paraId="4D6155FD">
            <w:pPr>
              <w:jc w:val="both"/>
              <w:rPr>
                <w:rFonts w:hint="eastAsia" w:ascii="宋体" w:hAnsi="宋体"/>
                <w:color w:val="auto"/>
                <w:szCs w:val="21"/>
                <w:highlight w:val="none"/>
              </w:rPr>
            </w:pPr>
            <w:r>
              <w:rPr>
                <w:rFonts w:hint="eastAsia" w:ascii="宋体" w:hAnsi="宋体"/>
                <w:color w:val="auto"/>
                <w:szCs w:val="21"/>
                <w:highlight w:val="none"/>
              </w:rPr>
              <w:t>无法规明确规定须废标的或招标文件禁止的情形</w:t>
            </w:r>
          </w:p>
        </w:tc>
      </w:tr>
      <w:bookmarkEnd w:id="20"/>
    </w:tbl>
    <w:p w14:paraId="3ECB92EA">
      <w:pPr>
        <w:ind w:left="3360" w:firstLine="420"/>
        <w:rPr>
          <w:rFonts w:hint="eastAsia" w:ascii="宋体" w:hAnsi="宋体"/>
          <w:color w:val="auto"/>
          <w:szCs w:val="21"/>
          <w:highlight w:val="none"/>
        </w:rPr>
      </w:pPr>
    </w:p>
    <w:p w14:paraId="56D7B998">
      <w:pPr>
        <w:widowControl/>
        <w:jc w:val="left"/>
        <w:rPr>
          <w:rFonts w:hint="eastAsia" w:ascii="宋体" w:hAnsi="宋体"/>
          <w:color w:val="auto"/>
          <w:szCs w:val="21"/>
          <w:highlight w:val="none"/>
        </w:rPr>
      </w:pPr>
      <w:r>
        <w:rPr>
          <w:rFonts w:ascii="宋体" w:hAnsi="宋体"/>
          <w:color w:val="auto"/>
          <w:szCs w:val="21"/>
          <w:highlight w:val="none"/>
        </w:rPr>
        <w:br w:type="page"/>
      </w:r>
    </w:p>
    <w:p w14:paraId="3FCD98F7">
      <w:pPr>
        <w:pStyle w:val="4"/>
        <w:rPr>
          <w:rFonts w:hint="eastAsia"/>
          <w:color w:val="auto"/>
          <w:highlight w:val="none"/>
        </w:rPr>
      </w:pPr>
      <w:r>
        <w:rPr>
          <w:rFonts w:hint="eastAsia"/>
          <w:color w:val="auto"/>
          <w:highlight w:val="none"/>
        </w:rPr>
        <w:t>附表2：</w:t>
      </w:r>
      <w:bookmarkStart w:id="21" w:name="_Hlk202254396"/>
      <w:r>
        <w:rPr>
          <w:rFonts w:hint="eastAsia"/>
          <w:color w:val="auto"/>
          <w:highlight w:val="none"/>
        </w:rPr>
        <w:t>详细</w:t>
      </w:r>
      <w:r>
        <w:rPr>
          <w:rFonts w:hint="eastAsia"/>
          <w:color w:val="auto"/>
          <w:highlight w:val="none"/>
          <w:lang w:eastAsia="zh-CN"/>
        </w:rPr>
        <w:t>评</w:t>
      </w:r>
      <w:r>
        <w:rPr>
          <w:rFonts w:hint="eastAsia"/>
          <w:color w:val="auto"/>
          <w:highlight w:val="none"/>
          <w:lang w:val="en-US" w:eastAsia="zh-CN"/>
        </w:rPr>
        <w:t>分</w:t>
      </w:r>
      <w:r>
        <w:rPr>
          <w:rFonts w:hint="eastAsia"/>
          <w:color w:val="auto"/>
          <w:highlight w:val="none"/>
        </w:rPr>
        <w:t>表</w:t>
      </w:r>
      <w:bookmarkEnd w:id="21"/>
      <w:r>
        <w:rPr>
          <w:rFonts w:hint="eastAsia"/>
          <w:color w:val="auto"/>
          <w:highlight w:val="none"/>
        </w:rPr>
        <w:t>（注：不需要投标人填写）</w:t>
      </w:r>
    </w:p>
    <w:p w14:paraId="12DBB62E">
      <w:pPr>
        <w:spacing w:after="120"/>
        <w:jc w:val="center"/>
        <w:rPr>
          <w:b/>
          <w:color w:val="auto"/>
          <w:sz w:val="28"/>
          <w:szCs w:val="28"/>
          <w:highlight w:val="none"/>
        </w:rPr>
      </w:pPr>
      <w:r>
        <w:rPr>
          <w:rFonts w:hint="eastAsia"/>
          <w:b/>
          <w:color w:val="auto"/>
          <w:sz w:val="28"/>
          <w:szCs w:val="28"/>
          <w:highlight w:val="none"/>
        </w:rPr>
        <w:t>详细</w:t>
      </w:r>
      <w:r>
        <w:rPr>
          <w:rFonts w:hint="eastAsia"/>
          <w:b/>
          <w:color w:val="auto"/>
          <w:sz w:val="28"/>
          <w:szCs w:val="28"/>
          <w:highlight w:val="none"/>
          <w:lang w:eastAsia="zh-CN"/>
        </w:rPr>
        <w:t>评</w:t>
      </w:r>
      <w:r>
        <w:rPr>
          <w:rFonts w:hint="eastAsia"/>
          <w:b/>
          <w:color w:val="auto"/>
          <w:sz w:val="28"/>
          <w:szCs w:val="28"/>
          <w:highlight w:val="none"/>
          <w:lang w:val="en-US" w:eastAsia="zh-CN"/>
        </w:rPr>
        <w:t>分</w:t>
      </w:r>
      <w:r>
        <w:rPr>
          <w:rFonts w:hint="eastAsia"/>
          <w:b/>
          <w:color w:val="auto"/>
          <w:sz w:val="28"/>
          <w:szCs w:val="28"/>
          <w:highlight w:val="none"/>
        </w:rPr>
        <w:t>表</w:t>
      </w:r>
    </w:p>
    <w:tbl>
      <w:tblPr>
        <w:tblStyle w:val="22"/>
        <w:tblpPr w:leftFromText="180" w:rightFromText="180" w:vertAnchor="text" w:horzAnchor="margin" w:tblpXSpec="center" w:tblpY="102"/>
        <w:tblW w:w="94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1701"/>
        <w:gridCol w:w="5781"/>
        <w:gridCol w:w="1134"/>
      </w:tblGrid>
      <w:tr w14:paraId="191B0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trPr>
        <w:tc>
          <w:tcPr>
            <w:tcW w:w="846" w:type="dxa"/>
            <w:vAlign w:val="center"/>
          </w:tcPr>
          <w:p w14:paraId="12B85AC7">
            <w:pPr>
              <w:jc w:val="center"/>
              <w:rPr>
                <w:color w:val="auto"/>
                <w:szCs w:val="21"/>
                <w:highlight w:val="none"/>
              </w:rPr>
            </w:pPr>
            <w:r>
              <w:rPr>
                <w:rFonts w:hint="eastAsia"/>
                <w:color w:val="auto"/>
                <w:szCs w:val="21"/>
                <w:highlight w:val="none"/>
              </w:rPr>
              <w:t>序号</w:t>
            </w:r>
          </w:p>
        </w:tc>
        <w:tc>
          <w:tcPr>
            <w:tcW w:w="1701" w:type="dxa"/>
            <w:vAlign w:val="center"/>
          </w:tcPr>
          <w:p w14:paraId="5EBA0DDC">
            <w:pPr>
              <w:jc w:val="center"/>
              <w:rPr>
                <w:color w:val="auto"/>
                <w:szCs w:val="21"/>
                <w:highlight w:val="none"/>
              </w:rPr>
            </w:pPr>
            <w:r>
              <w:rPr>
                <w:rFonts w:hint="eastAsia"/>
                <w:color w:val="auto"/>
                <w:szCs w:val="21"/>
                <w:highlight w:val="none"/>
                <w:lang w:eastAsia="zh-CN"/>
              </w:rPr>
              <w:t>评标</w:t>
            </w:r>
            <w:r>
              <w:rPr>
                <w:rFonts w:hint="eastAsia"/>
                <w:color w:val="auto"/>
                <w:szCs w:val="21"/>
                <w:highlight w:val="none"/>
              </w:rPr>
              <w:t>项目</w:t>
            </w:r>
          </w:p>
        </w:tc>
        <w:tc>
          <w:tcPr>
            <w:tcW w:w="5781" w:type="dxa"/>
            <w:vAlign w:val="center"/>
          </w:tcPr>
          <w:p w14:paraId="2DBA9AF6">
            <w:pPr>
              <w:jc w:val="center"/>
              <w:rPr>
                <w:color w:val="auto"/>
                <w:szCs w:val="21"/>
                <w:highlight w:val="none"/>
              </w:rPr>
            </w:pPr>
            <w:r>
              <w:rPr>
                <w:rFonts w:hint="eastAsia"/>
                <w:color w:val="auto"/>
                <w:szCs w:val="21"/>
                <w:highlight w:val="none"/>
              </w:rPr>
              <w:t>评议内容</w:t>
            </w:r>
          </w:p>
        </w:tc>
        <w:tc>
          <w:tcPr>
            <w:tcW w:w="1134" w:type="dxa"/>
            <w:vAlign w:val="center"/>
          </w:tcPr>
          <w:p w14:paraId="008AEC67">
            <w:pPr>
              <w:jc w:val="center"/>
              <w:rPr>
                <w:color w:val="auto"/>
                <w:szCs w:val="21"/>
                <w:highlight w:val="none"/>
              </w:rPr>
            </w:pPr>
            <w:r>
              <w:rPr>
                <w:rFonts w:hint="eastAsia"/>
                <w:color w:val="auto"/>
                <w:szCs w:val="21"/>
                <w:highlight w:val="none"/>
              </w:rPr>
              <w:t>分数</w:t>
            </w:r>
          </w:p>
        </w:tc>
      </w:tr>
      <w:tr w14:paraId="24177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Align w:val="center"/>
          </w:tcPr>
          <w:p w14:paraId="2A462BB4">
            <w:pPr>
              <w:tabs>
                <w:tab w:val="left" w:pos="420"/>
              </w:tabs>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价格分</w:t>
            </w:r>
          </w:p>
        </w:tc>
        <w:tc>
          <w:tcPr>
            <w:tcW w:w="1701" w:type="dxa"/>
            <w:vAlign w:val="center"/>
          </w:tcPr>
          <w:p w14:paraId="04FB57CB">
            <w:pPr>
              <w:jc w:val="center"/>
              <w:rPr>
                <w:rFonts w:hint="eastAsia"/>
                <w:b/>
                <w:bCs/>
                <w:color w:val="auto"/>
                <w:szCs w:val="21"/>
                <w:highlight w:val="none"/>
              </w:rPr>
            </w:pPr>
            <w:r>
              <w:rPr>
                <w:rFonts w:hint="eastAsia" w:asciiTheme="minorEastAsia" w:hAnsiTheme="minorEastAsia" w:eastAsiaTheme="minorEastAsia" w:cstheme="minorEastAsia"/>
                <w:sz w:val="21"/>
                <w:szCs w:val="21"/>
              </w:rPr>
              <w:t>投标报价</w:t>
            </w:r>
          </w:p>
        </w:tc>
        <w:tc>
          <w:tcPr>
            <w:tcW w:w="5781" w:type="dxa"/>
            <w:vAlign w:val="center"/>
          </w:tcPr>
          <w:p w14:paraId="6BC04CA0">
            <w:pPr>
              <w:keepNext w:val="0"/>
              <w:keepLines w:val="0"/>
              <w:pageBreakBefore w:val="0"/>
              <w:widowControl w:val="0"/>
              <w:kinsoku/>
              <w:wordWrap/>
              <w:overflowPunct/>
              <w:topLinePunct w:val="0"/>
              <w:autoSpaceDE w:val="0"/>
              <w:autoSpaceDN w:val="0"/>
              <w:bidi w:val="0"/>
              <w:adjustRightInd/>
              <w:snapToGrid/>
              <w:spacing w:line="280" w:lineRule="exact"/>
              <w:jc w:val="left"/>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价格分采用</w:t>
            </w:r>
            <w:r>
              <w:rPr>
                <w:rFonts w:hint="eastAsia" w:asciiTheme="minorEastAsia" w:hAnsiTheme="minorEastAsia" w:eastAsiaTheme="minorEastAsia" w:cstheme="minorEastAsia"/>
                <w:color w:val="auto"/>
                <w:sz w:val="21"/>
                <w:szCs w:val="21"/>
                <w:lang w:val="en-US" w:eastAsia="zh-CN"/>
              </w:rPr>
              <w:t>中间价</w:t>
            </w:r>
            <w:r>
              <w:rPr>
                <w:rFonts w:hint="eastAsia" w:asciiTheme="minorEastAsia" w:hAnsiTheme="minorEastAsia" w:eastAsiaTheme="minorEastAsia" w:cstheme="minorEastAsia"/>
                <w:color w:val="auto"/>
                <w:sz w:val="21"/>
                <w:szCs w:val="21"/>
              </w:rPr>
              <w:t>法计算</w:t>
            </w:r>
            <w:r>
              <w:rPr>
                <w:rFonts w:hint="eastAsia" w:asciiTheme="minorEastAsia" w:hAnsiTheme="minorEastAsia" w:eastAsiaTheme="minorEastAsia" w:cstheme="minorEastAsia"/>
                <w:color w:val="auto"/>
                <w:sz w:val="21"/>
                <w:szCs w:val="21"/>
                <w:lang w:eastAsia="zh-CN"/>
              </w:rPr>
              <w:t>：</w:t>
            </w:r>
          </w:p>
          <w:p w14:paraId="53D68E70">
            <w:pPr>
              <w:keepNext w:val="0"/>
              <w:keepLines w:val="0"/>
              <w:pageBreakBefore w:val="0"/>
              <w:widowControl w:val="0"/>
              <w:numPr>
                <w:ilvl w:val="0"/>
                <w:numId w:val="5"/>
              </w:numPr>
              <w:kinsoku/>
              <w:wordWrap/>
              <w:overflowPunct/>
              <w:topLinePunct w:val="0"/>
              <w:autoSpaceDE w:val="0"/>
              <w:autoSpaceDN w:val="0"/>
              <w:bidi w:val="0"/>
              <w:adjustRightInd/>
              <w:snapToGrid/>
              <w:spacing w:line="280" w:lineRule="exact"/>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去掉所有投标价中的最高价和最低价，以剩余投标报价的算数平均数为</w:t>
            </w:r>
            <w:r>
              <w:rPr>
                <w:rFonts w:hint="eastAsia" w:asciiTheme="minorEastAsia" w:hAnsiTheme="minorEastAsia" w:eastAsiaTheme="minorEastAsia" w:cstheme="minorEastAsia"/>
                <w:color w:val="auto"/>
                <w:sz w:val="21"/>
                <w:szCs w:val="21"/>
              </w:rPr>
              <w:t>评标基准价</w:t>
            </w:r>
            <w:r>
              <w:rPr>
                <w:rFonts w:hint="eastAsia" w:asciiTheme="minorEastAsia" w:hAnsiTheme="minorEastAsia" w:eastAsiaTheme="minorEastAsia" w:cstheme="minorEastAsia"/>
                <w:color w:val="auto"/>
                <w:sz w:val="21"/>
                <w:szCs w:val="21"/>
                <w:lang w:eastAsia="zh-CN"/>
              </w:rPr>
              <w:t>；</w:t>
            </w:r>
          </w:p>
          <w:p w14:paraId="4A75D3CD">
            <w:pPr>
              <w:keepNext w:val="0"/>
              <w:keepLines w:val="0"/>
              <w:pageBreakBefore w:val="0"/>
              <w:widowControl w:val="0"/>
              <w:numPr>
                <w:ilvl w:val="0"/>
                <w:numId w:val="5"/>
              </w:numPr>
              <w:kinsoku/>
              <w:wordWrap/>
              <w:overflowPunct/>
              <w:topLinePunct w:val="0"/>
              <w:autoSpaceDE w:val="0"/>
              <w:autoSpaceDN w:val="0"/>
              <w:bidi w:val="0"/>
              <w:adjustRightInd/>
              <w:snapToGrid/>
              <w:spacing w:line="280" w:lineRule="exact"/>
              <w:jc w:val="lef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投标报价等于</w:t>
            </w:r>
            <w:r>
              <w:rPr>
                <w:rFonts w:hint="eastAsia" w:asciiTheme="minorEastAsia" w:hAnsiTheme="minorEastAsia" w:eastAsiaTheme="minorEastAsia" w:cstheme="minorEastAsia"/>
                <w:color w:val="auto"/>
                <w:sz w:val="21"/>
                <w:szCs w:val="21"/>
              </w:rPr>
              <w:t>评标基准价</w:t>
            </w:r>
            <w:r>
              <w:rPr>
                <w:rFonts w:hint="eastAsia" w:asciiTheme="minorEastAsia" w:hAnsiTheme="minorEastAsia" w:eastAsiaTheme="minorEastAsia" w:cstheme="minorEastAsia"/>
                <w:color w:val="auto"/>
                <w:sz w:val="21"/>
                <w:szCs w:val="21"/>
                <w:lang w:val="en-US" w:eastAsia="zh-CN"/>
              </w:rPr>
              <w:t>得</w:t>
            </w:r>
            <w:r>
              <w:rPr>
                <w:rFonts w:hint="eastAsia" w:asciiTheme="minorEastAsia" w:hAnsiTheme="minorEastAsia" w:eastAsiaTheme="minorEastAsia" w:cstheme="minorEastAsia"/>
                <w:color w:val="auto"/>
                <w:sz w:val="21"/>
                <w:szCs w:val="21"/>
              </w:rPr>
              <w:t>满分</w:t>
            </w:r>
            <w:r>
              <w:rPr>
                <w:rFonts w:hint="eastAsia" w:asciiTheme="minorEastAsia" w:hAnsiTheme="minorEastAsia" w:eastAsiaTheme="minorEastAsia" w:cstheme="minorEastAsia"/>
                <w:color w:val="auto"/>
                <w:sz w:val="21"/>
                <w:szCs w:val="21"/>
                <w:lang w:val="en-US" w:eastAsia="zh-CN"/>
              </w:rPr>
              <w:t>30分</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其他</w:t>
            </w:r>
            <w:r>
              <w:rPr>
                <w:rFonts w:hint="eastAsia" w:asciiTheme="minorEastAsia" w:hAnsiTheme="minorEastAsia" w:eastAsiaTheme="minorEastAsia" w:cstheme="minorEastAsia"/>
                <w:color w:val="auto"/>
                <w:sz w:val="21"/>
                <w:szCs w:val="21"/>
                <w:lang w:val="en-US" w:eastAsia="zh-CN"/>
              </w:rPr>
              <w:t>投标</w:t>
            </w:r>
            <w:r>
              <w:rPr>
                <w:rFonts w:hint="eastAsia" w:asciiTheme="minorEastAsia" w:hAnsiTheme="minorEastAsia" w:eastAsiaTheme="minorEastAsia" w:cstheme="minorEastAsia"/>
                <w:color w:val="auto"/>
                <w:sz w:val="21"/>
                <w:szCs w:val="21"/>
              </w:rPr>
              <w:t>价格</w:t>
            </w:r>
            <w:r>
              <w:rPr>
                <w:rFonts w:hint="eastAsia" w:asciiTheme="minorEastAsia" w:hAnsiTheme="minorEastAsia" w:eastAsiaTheme="minorEastAsia" w:cstheme="minorEastAsia"/>
                <w:color w:val="auto"/>
                <w:sz w:val="21"/>
                <w:szCs w:val="21"/>
                <w:lang w:val="en-US" w:eastAsia="zh-CN"/>
              </w:rPr>
              <w:t>高于</w:t>
            </w:r>
            <w:r>
              <w:rPr>
                <w:rFonts w:hint="eastAsia" w:asciiTheme="minorEastAsia" w:hAnsiTheme="minorEastAsia" w:eastAsiaTheme="minorEastAsia" w:cstheme="minorEastAsia"/>
                <w:color w:val="auto"/>
                <w:sz w:val="21"/>
                <w:szCs w:val="21"/>
              </w:rPr>
              <w:t>评标基准价</w:t>
            </w:r>
            <w:r>
              <w:rPr>
                <w:rFonts w:hint="eastAsia" w:asciiTheme="minorEastAsia" w:hAnsiTheme="minorEastAsia" w:eastAsiaTheme="minorEastAsia" w:cstheme="minorEastAsia"/>
                <w:color w:val="auto"/>
                <w:sz w:val="21"/>
                <w:szCs w:val="21"/>
                <w:lang w:val="en-US" w:eastAsia="zh-CN"/>
              </w:rPr>
              <w:t>的每偏离1%扣1分，低于</w:t>
            </w:r>
            <w:r>
              <w:rPr>
                <w:rFonts w:hint="eastAsia" w:asciiTheme="minorEastAsia" w:hAnsiTheme="minorEastAsia" w:eastAsiaTheme="minorEastAsia" w:cstheme="minorEastAsia"/>
                <w:color w:val="auto"/>
                <w:sz w:val="21"/>
                <w:szCs w:val="21"/>
              </w:rPr>
              <w:t>评标基准价</w:t>
            </w:r>
            <w:r>
              <w:rPr>
                <w:rFonts w:hint="eastAsia" w:asciiTheme="minorEastAsia" w:hAnsiTheme="minorEastAsia" w:eastAsiaTheme="minorEastAsia" w:cstheme="minorEastAsia"/>
                <w:color w:val="auto"/>
                <w:sz w:val="21"/>
                <w:szCs w:val="21"/>
                <w:lang w:val="en-US" w:eastAsia="zh-CN"/>
              </w:rPr>
              <w:t>每偏离1%扣0.5分。</w:t>
            </w:r>
            <w:r>
              <w:rPr>
                <w:rFonts w:hint="eastAsia" w:asciiTheme="minorEastAsia" w:hAnsiTheme="minorEastAsia" w:eastAsiaTheme="minorEastAsia" w:cstheme="minorEastAsia"/>
                <w:color w:val="auto"/>
                <w:sz w:val="21"/>
                <w:szCs w:val="21"/>
              </w:rPr>
              <w:t>计算</w:t>
            </w:r>
            <w:r>
              <w:rPr>
                <w:rFonts w:hint="eastAsia" w:asciiTheme="minorEastAsia" w:hAnsiTheme="minorEastAsia" w:eastAsiaTheme="minorEastAsia" w:cstheme="minorEastAsia"/>
                <w:color w:val="auto"/>
                <w:sz w:val="21"/>
                <w:szCs w:val="21"/>
                <w:lang w:val="en-US" w:eastAsia="zh-CN"/>
              </w:rPr>
              <w:t>步骤如下</w:t>
            </w:r>
            <w:r>
              <w:rPr>
                <w:rFonts w:hint="eastAsia" w:asciiTheme="minorEastAsia" w:hAnsiTheme="minorEastAsia" w:eastAsiaTheme="minorEastAsia" w:cstheme="minorEastAsia"/>
                <w:color w:val="auto"/>
                <w:sz w:val="21"/>
                <w:szCs w:val="21"/>
              </w:rPr>
              <w:t>：</w:t>
            </w:r>
          </w:p>
          <w:p w14:paraId="01B607B8">
            <w:pPr>
              <w:keepNext w:val="0"/>
              <w:keepLines w:val="0"/>
              <w:pageBreakBefore w:val="0"/>
              <w:widowControl w:val="0"/>
              <w:numPr>
                <w:ilvl w:val="0"/>
                <w:numId w:val="0"/>
              </w:numPr>
              <w:kinsoku/>
              <w:wordWrap/>
              <w:overflowPunct/>
              <w:topLinePunct w:val="0"/>
              <w:autoSpaceDE w:val="0"/>
              <w:autoSpaceDN w:val="0"/>
              <w:bidi w:val="0"/>
              <w:adjustRightInd/>
              <w:snapToGrid/>
              <w:spacing w:line="280" w:lineRule="exact"/>
              <w:ind w:left="0" w:leftChars="0" w:right="0" w:rightChars="0"/>
              <w:jc w:val="left"/>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（1）计算报价偏差率=</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val="en-US" w:eastAsia="zh-CN"/>
              </w:rPr>
              <w:t>投标报价-</w:t>
            </w:r>
            <w:r>
              <w:rPr>
                <w:rFonts w:hint="eastAsia" w:asciiTheme="minorEastAsia" w:hAnsiTheme="minorEastAsia" w:eastAsiaTheme="minorEastAsia" w:cstheme="minorEastAsia"/>
                <w:color w:val="auto"/>
                <w:sz w:val="21"/>
                <w:szCs w:val="21"/>
              </w:rPr>
              <w:t>评标基准价）/评标基准价</w:t>
            </w:r>
          </w:p>
          <w:p w14:paraId="4522D2F3">
            <w:pPr>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（2）报价得分=30-（|报价偏差率|/1%*1）或30-（|报价偏差率|/1%*0.5）</w:t>
            </w:r>
          </w:p>
          <w:p w14:paraId="4266172D">
            <w:pPr>
              <w:jc w:val="left"/>
              <w:rPr>
                <w:rFonts w:hint="default"/>
                <w:color w:val="auto"/>
                <w:lang w:val="en-US"/>
              </w:rPr>
            </w:pPr>
            <w:r>
              <w:rPr>
                <w:rFonts w:hint="eastAsia" w:asciiTheme="minorEastAsia" w:hAnsiTheme="minorEastAsia" w:eastAsiaTheme="minorEastAsia" w:cstheme="minorEastAsia"/>
                <w:color w:val="auto"/>
                <w:sz w:val="21"/>
                <w:szCs w:val="21"/>
                <w:lang w:val="en-US" w:eastAsia="zh-CN"/>
              </w:rPr>
              <w:t>（3）报价得分最低为0分</w:t>
            </w:r>
          </w:p>
        </w:tc>
        <w:tc>
          <w:tcPr>
            <w:tcW w:w="1134" w:type="dxa"/>
            <w:vAlign w:val="center"/>
          </w:tcPr>
          <w:p w14:paraId="1B34F29B">
            <w:pPr>
              <w:jc w:val="center"/>
              <w:rPr>
                <w:rFonts w:hint="default" w:eastAsia="宋体"/>
                <w:color w:val="auto"/>
                <w:szCs w:val="21"/>
                <w:highlight w:val="none"/>
                <w:lang w:val="en-US" w:eastAsia="zh-CN"/>
              </w:rPr>
            </w:pPr>
            <w:r>
              <w:rPr>
                <w:rFonts w:hint="eastAsia" w:ascii="宋体" w:hAnsi="宋体" w:cs="Times New Roman"/>
                <w:bCs/>
                <w:color w:val="auto"/>
                <w:szCs w:val="21"/>
                <w:highlight w:val="none"/>
                <w:lang w:val="en-US" w:eastAsia="zh-CN"/>
              </w:rPr>
              <w:t>30</w:t>
            </w:r>
          </w:p>
        </w:tc>
      </w:tr>
      <w:tr w14:paraId="3FF93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restart"/>
            <w:shd w:val="clear" w:color="auto" w:fill="auto"/>
            <w:vAlign w:val="center"/>
          </w:tcPr>
          <w:p w14:paraId="372EA3C9">
            <w:pPr>
              <w:tabs>
                <w:tab w:val="left" w:pos="420"/>
              </w:tabs>
              <w:jc w:val="center"/>
              <w:rPr>
                <w:rFonts w:hint="default"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商务分</w:t>
            </w:r>
          </w:p>
        </w:tc>
        <w:tc>
          <w:tcPr>
            <w:tcW w:w="1701" w:type="dxa"/>
            <w:vAlign w:val="center"/>
          </w:tcPr>
          <w:p w14:paraId="5393655C">
            <w:pPr>
              <w:jc w:val="center"/>
              <w:rPr>
                <w:color w:val="auto"/>
                <w:highlight w:val="none"/>
              </w:rPr>
            </w:pPr>
            <w:r>
              <w:rPr>
                <w:rFonts w:hint="eastAsia"/>
                <w:color w:val="auto"/>
                <w:highlight w:val="none"/>
              </w:rPr>
              <w:t>企业管理体系认证</w:t>
            </w:r>
          </w:p>
        </w:tc>
        <w:tc>
          <w:tcPr>
            <w:tcW w:w="5781" w:type="dxa"/>
            <w:vAlign w:val="center"/>
          </w:tcPr>
          <w:p w14:paraId="4C239BD5">
            <w:pPr>
              <w:jc w:val="both"/>
              <w:rPr>
                <w:rFonts w:hint="eastAsia" w:ascii="宋体" w:hAnsi="宋体" w:eastAsia="宋体" w:cs="Times New Roman"/>
                <w:b w:val="0"/>
                <w:color w:val="auto"/>
                <w:kern w:val="2"/>
                <w:sz w:val="21"/>
                <w:szCs w:val="21"/>
                <w:highlight w:val="none"/>
                <w:lang w:val="en-US" w:eastAsia="zh-CN" w:bidi="ar-SA"/>
              </w:rPr>
            </w:pPr>
            <w:r>
              <w:rPr>
                <w:rFonts w:hint="eastAsia" w:ascii="宋体" w:hAnsi="宋体" w:eastAsia="宋体" w:cs="Times New Roman"/>
                <w:b w:val="0"/>
                <w:color w:val="auto"/>
                <w:kern w:val="2"/>
                <w:sz w:val="21"/>
                <w:szCs w:val="21"/>
                <w:highlight w:val="none"/>
                <w:lang w:val="en-US" w:eastAsia="zh-CN" w:bidi="ar-SA"/>
              </w:rPr>
              <w:t>制造商具有质量管理体系认证证书、环境管理体系认证证书、职业健康安全管理体系认证证书，认证范围包含“木质家具产品的设计开发、生产、销售及售后服务”；</w:t>
            </w:r>
          </w:p>
          <w:p w14:paraId="60093C1B">
            <w:pPr>
              <w:jc w:val="both"/>
              <w:rPr>
                <w:rFonts w:hint="eastAsia" w:ascii="宋体" w:hAnsi="宋体"/>
                <w:color w:val="auto"/>
                <w:szCs w:val="21"/>
                <w:highlight w:val="none"/>
              </w:rPr>
            </w:pPr>
            <w:r>
              <w:rPr>
                <w:rFonts w:hint="eastAsia" w:ascii="宋体" w:hAnsi="宋体" w:eastAsia="宋体" w:cs="Times New Roman"/>
                <w:b w:val="0"/>
                <w:color w:val="auto"/>
                <w:kern w:val="2"/>
                <w:sz w:val="21"/>
                <w:szCs w:val="21"/>
                <w:highlight w:val="none"/>
                <w:lang w:val="en-US" w:eastAsia="zh-CN" w:bidi="ar-SA"/>
              </w:rPr>
              <w:t>注：须提供有效的认证证书复印件。</w:t>
            </w:r>
          </w:p>
        </w:tc>
        <w:tc>
          <w:tcPr>
            <w:tcW w:w="1134" w:type="dxa"/>
            <w:vMerge w:val="restart"/>
            <w:vAlign w:val="center"/>
          </w:tcPr>
          <w:p w14:paraId="408061CF">
            <w:pPr>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15</w:t>
            </w:r>
          </w:p>
        </w:tc>
      </w:tr>
      <w:tr w14:paraId="105244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shd w:val="clear" w:color="auto" w:fill="auto"/>
            <w:vAlign w:val="center"/>
          </w:tcPr>
          <w:p w14:paraId="4C45D051">
            <w:pPr>
              <w:tabs>
                <w:tab w:val="left" w:pos="420"/>
              </w:tabs>
              <w:jc w:val="center"/>
              <w:rPr>
                <w:rFonts w:ascii="宋体" w:hAnsi="宋体"/>
                <w:color w:val="auto"/>
                <w:szCs w:val="21"/>
                <w:highlight w:val="none"/>
              </w:rPr>
            </w:pPr>
          </w:p>
        </w:tc>
        <w:tc>
          <w:tcPr>
            <w:tcW w:w="1701" w:type="dxa"/>
            <w:shd w:val="clear" w:color="auto" w:fill="auto"/>
            <w:vAlign w:val="center"/>
          </w:tcPr>
          <w:p w14:paraId="42F7BE42">
            <w:pPr>
              <w:jc w:val="center"/>
              <w:rPr>
                <w:rFonts w:hint="eastAsia" w:ascii="Calibri" w:hAnsi="Calibri" w:eastAsia="宋体" w:cs="Times New Roman"/>
                <w:color w:val="auto"/>
                <w:kern w:val="2"/>
                <w:sz w:val="21"/>
                <w:szCs w:val="22"/>
                <w:highlight w:val="none"/>
                <w:lang w:val="en-US" w:eastAsia="zh-CN" w:bidi="ar-SA"/>
              </w:rPr>
            </w:pPr>
            <w:r>
              <w:rPr>
                <w:rFonts w:hint="eastAsia" w:ascii="宋体" w:hAnsi="宋体" w:cs="宋体"/>
                <w:color w:val="auto"/>
                <w:szCs w:val="21"/>
                <w:highlight w:val="none"/>
              </w:rPr>
              <w:t>类似业绩</w:t>
            </w:r>
          </w:p>
        </w:tc>
        <w:tc>
          <w:tcPr>
            <w:tcW w:w="5781" w:type="dxa"/>
            <w:shd w:val="clear" w:color="auto" w:fill="auto"/>
            <w:vAlign w:val="center"/>
          </w:tcPr>
          <w:p w14:paraId="232CE298">
            <w:pPr>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Times New Roman"/>
                <w:b w:val="0"/>
                <w:color w:val="auto"/>
                <w:kern w:val="2"/>
                <w:sz w:val="21"/>
                <w:szCs w:val="21"/>
                <w:highlight w:val="none"/>
                <w:lang w:val="en-US" w:eastAsia="zh-CN" w:bidi="ar-SA"/>
              </w:rPr>
              <w:t>投标人自2023年1月1日至今（以合同签订时间为准）完成的家具采购、安装项目类业绩。提供合同关键页（至少能显示货物名称、合同金额、签订时间等评标信息）扫描件。</w:t>
            </w:r>
          </w:p>
        </w:tc>
        <w:tc>
          <w:tcPr>
            <w:tcW w:w="1134" w:type="dxa"/>
            <w:vMerge w:val="continue"/>
            <w:shd w:val="clear" w:color="auto" w:fill="auto"/>
            <w:vAlign w:val="center"/>
          </w:tcPr>
          <w:p w14:paraId="06E36E6B">
            <w:pPr>
              <w:jc w:val="center"/>
              <w:rPr>
                <w:rFonts w:hint="eastAsia" w:ascii="宋体" w:hAnsi="宋体" w:eastAsia="宋体" w:cs="宋体"/>
                <w:color w:val="auto"/>
                <w:kern w:val="2"/>
                <w:sz w:val="21"/>
                <w:szCs w:val="21"/>
                <w:highlight w:val="none"/>
                <w:lang w:val="en-US" w:eastAsia="zh-CN" w:bidi="ar-SA"/>
              </w:rPr>
            </w:pPr>
          </w:p>
        </w:tc>
      </w:tr>
      <w:tr w14:paraId="4CEDC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shd w:val="clear" w:color="auto" w:fill="auto"/>
            <w:vAlign w:val="center"/>
          </w:tcPr>
          <w:p w14:paraId="6C46DD85">
            <w:pPr>
              <w:tabs>
                <w:tab w:val="left" w:pos="420"/>
              </w:tabs>
              <w:jc w:val="center"/>
              <w:rPr>
                <w:rFonts w:ascii="宋体" w:hAnsi="宋体"/>
                <w:color w:val="auto"/>
                <w:szCs w:val="21"/>
                <w:highlight w:val="none"/>
              </w:rPr>
            </w:pPr>
          </w:p>
        </w:tc>
        <w:tc>
          <w:tcPr>
            <w:tcW w:w="1701" w:type="dxa"/>
            <w:shd w:val="clear" w:color="auto" w:fill="auto"/>
            <w:vAlign w:val="center"/>
          </w:tcPr>
          <w:p w14:paraId="373221FC">
            <w:pPr>
              <w:jc w:val="center"/>
              <w:rPr>
                <w:rFonts w:hint="eastAsia" w:ascii="Calibri" w:hAnsi="Calibri" w:eastAsia="宋体" w:cs="Times New Roman"/>
                <w:color w:val="auto"/>
                <w:kern w:val="2"/>
                <w:sz w:val="21"/>
                <w:szCs w:val="22"/>
                <w:highlight w:val="none"/>
                <w:lang w:val="en-US" w:eastAsia="zh-CN" w:bidi="ar-SA"/>
              </w:rPr>
            </w:pPr>
            <w:r>
              <w:rPr>
                <w:rFonts w:hint="eastAsia" w:ascii="宋体" w:hAnsi="宋体" w:cs="宋体"/>
                <w:color w:val="auto"/>
                <w:szCs w:val="21"/>
                <w:highlight w:val="none"/>
              </w:rPr>
              <w:t>售后服务</w:t>
            </w:r>
          </w:p>
        </w:tc>
        <w:tc>
          <w:tcPr>
            <w:tcW w:w="5781" w:type="dxa"/>
            <w:shd w:val="clear" w:color="auto" w:fill="auto"/>
            <w:vAlign w:val="center"/>
          </w:tcPr>
          <w:p w14:paraId="76F775EF">
            <w:pPr>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b w:val="0"/>
                <w:color w:val="auto"/>
                <w:kern w:val="2"/>
                <w:sz w:val="21"/>
                <w:szCs w:val="21"/>
                <w:highlight w:val="none"/>
                <w:lang w:val="en-US" w:eastAsia="zh-CN" w:bidi="ar-SA"/>
              </w:rPr>
              <w:t>对比投标单位提供的售后服务承诺，包括维修范围、保修期、响应速度，服务指标等。</w:t>
            </w:r>
          </w:p>
        </w:tc>
        <w:tc>
          <w:tcPr>
            <w:tcW w:w="1134" w:type="dxa"/>
            <w:vMerge w:val="continue"/>
            <w:shd w:val="clear" w:color="auto" w:fill="auto"/>
            <w:vAlign w:val="center"/>
          </w:tcPr>
          <w:p w14:paraId="232CC3DA">
            <w:pPr>
              <w:jc w:val="center"/>
              <w:rPr>
                <w:rFonts w:hint="eastAsia" w:ascii="宋体" w:hAnsi="宋体" w:eastAsia="宋体" w:cs="宋体"/>
                <w:color w:val="auto"/>
                <w:kern w:val="2"/>
                <w:sz w:val="21"/>
                <w:szCs w:val="21"/>
                <w:highlight w:val="none"/>
                <w:lang w:val="en-US" w:eastAsia="zh-CN" w:bidi="ar-SA"/>
              </w:rPr>
            </w:pPr>
          </w:p>
        </w:tc>
      </w:tr>
      <w:tr w14:paraId="08A9A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restart"/>
            <w:shd w:val="clear" w:color="auto" w:fill="auto"/>
            <w:vAlign w:val="center"/>
          </w:tcPr>
          <w:p w14:paraId="18E1948F">
            <w:pPr>
              <w:tabs>
                <w:tab w:val="left" w:pos="420"/>
              </w:tabs>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技术分</w:t>
            </w:r>
          </w:p>
          <w:p w14:paraId="0F3CB28F">
            <w:pPr>
              <w:tabs>
                <w:tab w:val="left" w:pos="420"/>
              </w:tabs>
              <w:jc w:val="center"/>
              <w:rPr>
                <w:rFonts w:hint="default" w:ascii="宋体" w:hAnsi="宋体" w:eastAsia="宋体" w:cs="Times New Roman"/>
                <w:color w:val="auto"/>
                <w:kern w:val="2"/>
                <w:sz w:val="21"/>
                <w:szCs w:val="21"/>
                <w:highlight w:val="none"/>
                <w:lang w:val="en-US" w:eastAsia="zh-CN" w:bidi="ar-SA"/>
              </w:rPr>
            </w:pPr>
          </w:p>
        </w:tc>
        <w:tc>
          <w:tcPr>
            <w:tcW w:w="1701" w:type="dxa"/>
            <w:shd w:val="clear" w:color="auto" w:fill="auto"/>
            <w:vAlign w:val="center"/>
          </w:tcPr>
          <w:p w14:paraId="0F95B6D2">
            <w:pPr>
              <w:jc w:val="center"/>
              <w:rPr>
                <w:rFonts w:hint="eastAsia" w:ascii="Calibri" w:hAnsi="Calibri" w:eastAsia="宋体" w:cs="Times New Roman"/>
                <w:color w:val="auto"/>
                <w:kern w:val="2"/>
                <w:sz w:val="21"/>
                <w:szCs w:val="22"/>
                <w:highlight w:val="none"/>
                <w:lang w:val="en-US" w:eastAsia="zh-CN" w:bidi="ar-SA"/>
              </w:rPr>
            </w:pPr>
            <w:r>
              <w:rPr>
                <w:rFonts w:hint="eastAsia"/>
                <w:color w:val="auto"/>
                <w:highlight w:val="none"/>
              </w:rPr>
              <w:t>技术规格偏离情况</w:t>
            </w:r>
          </w:p>
        </w:tc>
        <w:tc>
          <w:tcPr>
            <w:tcW w:w="5781" w:type="dxa"/>
            <w:shd w:val="clear" w:color="auto" w:fill="auto"/>
            <w:vAlign w:val="center"/>
          </w:tcPr>
          <w:p w14:paraId="7321ACD5">
            <w:pPr>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b w:val="0"/>
                <w:color w:val="auto"/>
                <w:kern w:val="2"/>
                <w:sz w:val="21"/>
                <w:szCs w:val="21"/>
                <w:highlight w:val="none"/>
                <w:lang w:val="en-US" w:eastAsia="zh-CN" w:bidi="ar-SA"/>
              </w:rPr>
              <w:t>根据《技术条款响应表》技术需求参数响应情况进行打分，各项技术参数指标及要求全部满足的得满分。</w:t>
            </w:r>
          </w:p>
        </w:tc>
        <w:tc>
          <w:tcPr>
            <w:tcW w:w="1134" w:type="dxa"/>
            <w:vMerge w:val="restart"/>
            <w:shd w:val="clear" w:color="auto" w:fill="auto"/>
            <w:vAlign w:val="center"/>
          </w:tcPr>
          <w:p w14:paraId="185D9A6D">
            <w:pPr>
              <w:jc w:val="center"/>
              <w:rPr>
                <w:rFonts w:hint="default" w:ascii="宋体" w:hAnsi="宋体" w:eastAsia="宋体" w:cs="Times New Roman"/>
                <w:color w:val="auto"/>
                <w:kern w:val="2"/>
                <w:sz w:val="21"/>
                <w:szCs w:val="22"/>
                <w:highlight w:val="none"/>
                <w:lang w:val="en-US" w:eastAsia="zh-CN" w:bidi="ar-SA"/>
              </w:rPr>
            </w:pPr>
            <w:r>
              <w:rPr>
                <w:rFonts w:hint="eastAsia" w:ascii="宋体" w:hAnsi="宋体" w:eastAsia="宋体" w:cs="Times New Roman"/>
                <w:color w:val="auto"/>
                <w:kern w:val="2"/>
                <w:sz w:val="21"/>
                <w:szCs w:val="22"/>
                <w:highlight w:val="none"/>
                <w:lang w:val="en-US" w:eastAsia="zh-CN" w:bidi="ar-SA"/>
              </w:rPr>
              <w:t>55</w:t>
            </w:r>
          </w:p>
        </w:tc>
      </w:tr>
      <w:tr w14:paraId="4BD27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shd w:val="clear" w:color="auto" w:fill="auto"/>
            <w:vAlign w:val="center"/>
          </w:tcPr>
          <w:p w14:paraId="3CF0C3B5">
            <w:pPr>
              <w:tabs>
                <w:tab w:val="left" w:pos="420"/>
              </w:tabs>
              <w:jc w:val="center"/>
              <w:rPr>
                <w:rFonts w:hint="eastAsia" w:ascii="宋体" w:hAnsi="宋体" w:eastAsia="宋体" w:cs="Times New Roman"/>
                <w:color w:val="auto"/>
                <w:kern w:val="2"/>
                <w:sz w:val="21"/>
                <w:szCs w:val="21"/>
                <w:highlight w:val="none"/>
                <w:lang w:val="en-US" w:eastAsia="zh-CN" w:bidi="ar-SA"/>
              </w:rPr>
            </w:pPr>
          </w:p>
        </w:tc>
        <w:tc>
          <w:tcPr>
            <w:tcW w:w="1701" w:type="dxa"/>
            <w:vAlign w:val="center"/>
          </w:tcPr>
          <w:p w14:paraId="2E337281">
            <w:pPr>
              <w:jc w:val="center"/>
              <w:rPr>
                <w:color w:val="auto"/>
                <w:highlight w:val="none"/>
              </w:rPr>
            </w:pPr>
            <w:r>
              <w:rPr>
                <w:rFonts w:hint="eastAsia" w:asciiTheme="minorEastAsia" w:hAnsiTheme="minorEastAsia" w:eastAsiaTheme="minorEastAsia" w:cstheme="minorEastAsia"/>
                <w:sz w:val="21"/>
                <w:szCs w:val="21"/>
                <w:lang w:val="en-US" w:eastAsia="zh-CN"/>
              </w:rPr>
              <w:t>工期保障</w:t>
            </w:r>
          </w:p>
        </w:tc>
        <w:tc>
          <w:tcPr>
            <w:tcW w:w="5781" w:type="dxa"/>
            <w:vAlign w:val="center"/>
          </w:tcPr>
          <w:p w14:paraId="7ACA4502">
            <w:pPr>
              <w:jc w:val="both"/>
              <w:rPr>
                <w:rFonts w:hint="eastAsia" w:ascii="宋体" w:hAnsi="宋体"/>
                <w:color w:val="auto"/>
                <w:szCs w:val="21"/>
                <w:highlight w:val="none"/>
              </w:rPr>
            </w:pPr>
            <w:r>
              <w:rPr>
                <w:rFonts w:hint="eastAsia" w:ascii="宋体" w:hAnsi="宋体" w:eastAsia="宋体" w:cs="Times New Roman"/>
                <w:b w:val="0"/>
                <w:color w:val="auto"/>
                <w:kern w:val="2"/>
                <w:sz w:val="21"/>
                <w:szCs w:val="21"/>
                <w:highlight w:val="none"/>
                <w:lang w:val="en-US" w:eastAsia="zh-CN" w:bidi="ar-SA"/>
              </w:rPr>
              <w:t>能够提供详细、科学生产计划图，清晰展示从原材料采购、各工序的时间节点和衔接，工期合理且留有适当余量以应对风险，能按时交货。</w:t>
            </w:r>
          </w:p>
        </w:tc>
        <w:tc>
          <w:tcPr>
            <w:tcW w:w="1134" w:type="dxa"/>
            <w:vMerge w:val="continue"/>
            <w:vAlign w:val="center"/>
          </w:tcPr>
          <w:p w14:paraId="0CA16369">
            <w:pPr>
              <w:jc w:val="center"/>
              <w:rPr>
                <w:rFonts w:hint="default" w:ascii="宋体" w:hAnsi="宋体" w:eastAsia="宋体"/>
                <w:color w:val="auto"/>
                <w:highlight w:val="none"/>
                <w:lang w:val="en-US" w:eastAsia="zh-CN"/>
              </w:rPr>
            </w:pPr>
          </w:p>
        </w:tc>
      </w:tr>
      <w:tr w14:paraId="626C3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shd w:val="clear" w:color="auto" w:fill="auto"/>
            <w:vAlign w:val="center"/>
          </w:tcPr>
          <w:p w14:paraId="79C11643">
            <w:pPr>
              <w:tabs>
                <w:tab w:val="left" w:pos="420"/>
              </w:tabs>
              <w:jc w:val="center"/>
              <w:rPr>
                <w:rFonts w:hint="default" w:ascii="宋体" w:hAnsi="宋体" w:eastAsia="宋体" w:cs="Times New Roman"/>
                <w:color w:val="auto"/>
                <w:kern w:val="2"/>
                <w:sz w:val="21"/>
                <w:szCs w:val="21"/>
                <w:highlight w:val="none"/>
                <w:lang w:val="en-US" w:eastAsia="zh-CN" w:bidi="ar-SA"/>
              </w:rPr>
            </w:pPr>
          </w:p>
        </w:tc>
        <w:tc>
          <w:tcPr>
            <w:tcW w:w="1701" w:type="dxa"/>
            <w:vAlign w:val="center"/>
          </w:tcPr>
          <w:p w14:paraId="7C26C4FF">
            <w:pPr>
              <w:jc w:val="center"/>
              <w:rPr>
                <w:rFonts w:hint="eastAsia" w:ascii="宋体" w:hAnsi="宋体" w:cs="宋体"/>
                <w:color w:val="auto"/>
                <w:szCs w:val="21"/>
                <w:highlight w:val="none"/>
              </w:rPr>
            </w:pPr>
            <w:r>
              <w:rPr>
                <w:rFonts w:hint="eastAsia" w:asciiTheme="minorEastAsia" w:hAnsiTheme="minorEastAsia" w:eastAsiaTheme="minorEastAsia" w:cstheme="minorEastAsia"/>
                <w:sz w:val="21"/>
                <w:szCs w:val="21"/>
                <w:lang w:val="en-US" w:eastAsia="zh-CN"/>
              </w:rPr>
              <w:t>质量控制体系与措施</w:t>
            </w:r>
          </w:p>
        </w:tc>
        <w:tc>
          <w:tcPr>
            <w:tcW w:w="5781" w:type="dxa"/>
            <w:vAlign w:val="center"/>
          </w:tcPr>
          <w:p w14:paraId="32A7EB12">
            <w:pPr>
              <w:jc w:val="both"/>
              <w:rPr>
                <w:rFonts w:hint="eastAsia" w:ascii="宋体" w:hAnsi="宋体" w:cs="宋体"/>
                <w:color w:val="auto"/>
                <w:szCs w:val="21"/>
                <w:highlight w:val="none"/>
              </w:rPr>
            </w:pPr>
            <w:r>
              <w:rPr>
                <w:rFonts w:hint="eastAsia" w:ascii="宋体" w:hAnsi="宋体" w:eastAsia="宋体" w:cs="Times New Roman"/>
                <w:b w:val="0"/>
                <w:color w:val="auto"/>
                <w:kern w:val="2"/>
                <w:sz w:val="21"/>
                <w:szCs w:val="21"/>
                <w:highlight w:val="none"/>
                <w:lang w:val="en-US" w:eastAsia="zh-CN" w:bidi="ar-SA"/>
              </w:rPr>
              <w:t>有完善的质量管理流程说明，涵盖来料检验、过程检验、成品检验，提供明确有效的原材料来源及环保证明材料。明确关键质量控制点（如板材厚度、甲醛释放量、封边质量、漆膜硬度、尺寸公差、安装稳定性等）及检测方法、频率、标准。</w:t>
            </w:r>
          </w:p>
        </w:tc>
        <w:tc>
          <w:tcPr>
            <w:tcW w:w="1134" w:type="dxa"/>
            <w:vMerge w:val="continue"/>
            <w:vAlign w:val="center"/>
          </w:tcPr>
          <w:p w14:paraId="40B9C1CD">
            <w:pPr>
              <w:jc w:val="center"/>
              <w:rPr>
                <w:rFonts w:hint="default" w:ascii="宋体" w:hAnsi="宋体" w:eastAsia="宋体"/>
                <w:color w:val="auto"/>
                <w:highlight w:val="none"/>
                <w:lang w:val="en-US" w:eastAsia="zh-CN"/>
              </w:rPr>
            </w:pPr>
          </w:p>
        </w:tc>
      </w:tr>
      <w:tr w14:paraId="2058B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shd w:val="clear" w:color="auto" w:fill="auto"/>
            <w:vAlign w:val="center"/>
          </w:tcPr>
          <w:p w14:paraId="5BF4A41F">
            <w:pPr>
              <w:tabs>
                <w:tab w:val="left" w:pos="420"/>
              </w:tabs>
              <w:jc w:val="center"/>
              <w:rPr>
                <w:rFonts w:hint="eastAsia" w:ascii="宋体" w:hAnsi="宋体" w:eastAsia="宋体" w:cs="Times New Roman"/>
                <w:color w:val="auto"/>
                <w:kern w:val="2"/>
                <w:sz w:val="21"/>
                <w:szCs w:val="21"/>
                <w:highlight w:val="none"/>
                <w:lang w:val="en-US" w:eastAsia="zh-CN" w:bidi="ar-SA"/>
              </w:rPr>
            </w:pPr>
          </w:p>
        </w:tc>
        <w:tc>
          <w:tcPr>
            <w:tcW w:w="1701" w:type="dxa"/>
            <w:vAlign w:val="center"/>
          </w:tcPr>
          <w:p w14:paraId="4961F315">
            <w:pPr>
              <w:jc w:val="center"/>
              <w:rPr>
                <w:rFonts w:hint="eastAsia" w:ascii="宋体" w:hAnsi="宋体" w:cs="宋体"/>
                <w:color w:val="auto"/>
                <w:szCs w:val="21"/>
                <w:highlight w:val="none"/>
              </w:rPr>
            </w:pPr>
            <w:r>
              <w:rPr>
                <w:rFonts w:hint="eastAsia" w:asciiTheme="minorEastAsia" w:hAnsiTheme="minorEastAsia" w:eastAsiaTheme="minorEastAsia" w:cstheme="minorEastAsia"/>
                <w:sz w:val="21"/>
                <w:szCs w:val="21"/>
                <w:lang w:val="en-US" w:eastAsia="zh-CN"/>
              </w:rPr>
              <w:t>应急预案与风险控制</w:t>
            </w:r>
          </w:p>
        </w:tc>
        <w:tc>
          <w:tcPr>
            <w:tcW w:w="5781" w:type="dxa"/>
            <w:vAlign w:val="center"/>
          </w:tcPr>
          <w:p w14:paraId="53FB2A7A">
            <w:pPr>
              <w:jc w:val="both"/>
              <w:rPr>
                <w:rFonts w:hint="eastAsia" w:ascii="宋体" w:hAnsi="宋体" w:cs="宋体"/>
                <w:color w:val="auto"/>
                <w:szCs w:val="21"/>
                <w:highlight w:val="none"/>
              </w:rPr>
            </w:pPr>
            <w:r>
              <w:rPr>
                <w:rFonts w:hint="eastAsia" w:ascii="宋体" w:hAnsi="宋体" w:eastAsia="宋体" w:cs="Times New Roman"/>
                <w:b w:val="0"/>
                <w:color w:val="auto"/>
                <w:kern w:val="2"/>
                <w:sz w:val="21"/>
                <w:szCs w:val="21"/>
                <w:highlight w:val="none"/>
                <w:lang w:val="en-US" w:eastAsia="zh-CN" w:bidi="ar-SA"/>
              </w:rPr>
              <w:t>能识别潜在风险（如设备故障、原材料延迟等不可抗力），并针对每项风险提出可行的应对预案。</w:t>
            </w:r>
          </w:p>
        </w:tc>
        <w:tc>
          <w:tcPr>
            <w:tcW w:w="1134" w:type="dxa"/>
            <w:vMerge w:val="continue"/>
            <w:vAlign w:val="center"/>
          </w:tcPr>
          <w:p w14:paraId="38AF6E52">
            <w:pPr>
              <w:jc w:val="center"/>
              <w:rPr>
                <w:rFonts w:hint="default" w:ascii="宋体" w:hAnsi="宋体" w:eastAsia="宋体" w:cs="宋体"/>
                <w:color w:val="auto"/>
                <w:szCs w:val="21"/>
                <w:highlight w:val="none"/>
                <w:lang w:val="en-US" w:eastAsia="zh-CN"/>
              </w:rPr>
            </w:pPr>
          </w:p>
        </w:tc>
      </w:tr>
      <w:tr w14:paraId="0EB96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46" w:type="dxa"/>
            <w:vMerge w:val="continue"/>
            <w:shd w:val="clear" w:color="auto" w:fill="auto"/>
            <w:vAlign w:val="center"/>
          </w:tcPr>
          <w:p w14:paraId="5306072E">
            <w:pPr>
              <w:tabs>
                <w:tab w:val="left" w:pos="420"/>
              </w:tabs>
              <w:jc w:val="center"/>
              <w:rPr>
                <w:rFonts w:hint="eastAsia" w:ascii="宋体" w:hAnsi="宋体" w:eastAsia="宋体"/>
                <w:color w:val="auto"/>
                <w:szCs w:val="21"/>
                <w:highlight w:val="none"/>
                <w:lang w:val="en-US" w:eastAsia="zh-CN"/>
              </w:rPr>
            </w:pPr>
          </w:p>
        </w:tc>
        <w:tc>
          <w:tcPr>
            <w:tcW w:w="1701" w:type="dxa"/>
            <w:shd w:val="clear" w:color="auto" w:fill="auto"/>
            <w:vAlign w:val="center"/>
          </w:tcPr>
          <w:p w14:paraId="641BB8DD">
            <w:pPr>
              <w:jc w:val="center"/>
              <w:rPr>
                <w:rFonts w:hint="eastAsia" w:ascii="Calibri" w:hAnsi="Calibri" w:eastAsia="宋体" w:cs="Times New Roman"/>
                <w:color w:val="auto"/>
                <w:kern w:val="2"/>
                <w:sz w:val="21"/>
                <w:szCs w:val="22"/>
                <w:highlight w:val="none"/>
                <w:lang w:val="en-US" w:eastAsia="zh-CN" w:bidi="ar-SA"/>
              </w:rPr>
            </w:pPr>
            <w:r>
              <w:rPr>
                <w:rFonts w:hint="eastAsia" w:ascii="宋体" w:hAnsi="宋体" w:cs="宋体"/>
                <w:color w:val="auto"/>
                <w:szCs w:val="21"/>
                <w:highlight w:val="none"/>
                <w:lang w:val="en-US" w:eastAsia="zh-CN"/>
              </w:rPr>
              <w:t>原材料（板材）</w:t>
            </w:r>
            <w:r>
              <w:rPr>
                <w:rFonts w:hint="eastAsia" w:ascii="宋体" w:hAnsi="宋体" w:cs="宋体"/>
                <w:color w:val="auto"/>
                <w:szCs w:val="21"/>
                <w:highlight w:val="none"/>
              </w:rPr>
              <w:t>样品</w:t>
            </w:r>
            <w:r>
              <w:rPr>
                <w:rFonts w:hint="eastAsia" w:ascii="宋体" w:hAnsi="宋体" w:cs="宋体"/>
                <w:color w:val="auto"/>
                <w:szCs w:val="21"/>
                <w:highlight w:val="none"/>
                <w:lang w:eastAsia="zh-CN"/>
              </w:rPr>
              <w:t>评标</w:t>
            </w:r>
          </w:p>
        </w:tc>
        <w:tc>
          <w:tcPr>
            <w:tcW w:w="5781" w:type="dxa"/>
            <w:shd w:val="clear" w:color="auto" w:fill="auto"/>
            <w:vAlign w:val="center"/>
          </w:tcPr>
          <w:p w14:paraId="0CD8FF79">
            <w:pPr>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b w:val="0"/>
                <w:color w:val="auto"/>
                <w:kern w:val="2"/>
                <w:sz w:val="21"/>
                <w:szCs w:val="21"/>
                <w:highlight w:val="none"/>
                <w:lang w:val="en-US" w:eastAsia="zh-CN" w:bidi="ar-SA"/>
              </w:rPr>
              <w:t>按照需求书要求提供样品。</w:t>
            </w:r>
          </w:p>
        </w:tc>
        <w:tc>
          <w:tcPr>
            <w:tcW w:w="1134" w:type="dxa"/>
            <w:vMerge w:val="continue"/>
            <w:shd w:val="clear" w:color="auto" w:fill="auto"/>
            <w:vAlign w:val="center"/>
          </w:tcPr>
          <w:p w14:paraId="0F440A32">
            <w:pPr>
              <w:jc w:val="center"/>
              <w:rPr>
                <w:rFonts w:hint="eastAsia" w:ascii="宋体" w:hAnsi="宋体" w:eastAsia="宋体" w:cs="Times New Roman"/>
                <w:color w:val="auto"/>
                <w:kern w:val="2"/>
                <w:sz w:val="21"/>
                <w:szCs w:val="22"/>
                <w:highlight w:val="none"/>
                <w:lang w:val="en-US" w:eastAsia="zh-CN" w:bidi="ar-SA"/>
              </w:rPr>
            </w:pPr>
          </w:p>
        </w:tc>
      </w:tr>
      <w:tr w14:paraId="29A11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328" w:type="dxa"/>
            <w:gridSpan w:val="3"/>
            <w:vAlign w:val="center"/>
          </w:tcPr>
          <w:p w14:paraId="0BCBC6D2">
            <w:pPr>
              <w:jc w:val="center"/>
              <w:rPr>
                <w:b/>
                <w:bCs/>
                <w:color w:val="auto"/>
                <w:szCs w:val="21"/>
                <w:highlight w:val="none"/>
              </w:rPr>
            </w:pPr>
            <w:r>
              <w:rPr>
                <w:rFonts w:hint="eastAsia"/>
                <w:b/>
                <w:bCs/>
                <w:color w:val="auto"/>
                <w:szCs w:val="21"/>
                <w:highlight w:val="none"/>
              </w:rPr>
              <w:t>评分合计</w:t>
            </w:r>
          </w:p>
        </w:tc>
        <w:tc>
          <w:tcPr>
            <w:tcW w:w="1134" w:type="dxa"/>
            <w:vAlign w:val="center"/>
          </w:tcPr>
          <w:p w14:paraId="143B52D2">
            <w:pPr>
              <w:jc w:val="center"/>
              <w:rPr>
                <w:b/>
                <w:bCs/>
                <w:color w:val="auto"/>
                <w:szCs w:val="21"/>
                <w:highlight w:val="none"/>
              </w:rPr>
            </w:pPr>
            <w:r>
              <w:rPr>
                <w:rFonts w:hint="eastAsia"/>
                <w:b/>
                <w:bCs/>
                <w:color w:val="auto"/>
                <w:szCs w:val="21"/>
                <w:highlight w:val="none"/>
              </w:rPr>
              <w:t>100</w:t>
            </w:r>
          </w:p>
        </w:tc>
      </w:tr>
    </w:tbl>
    <w:p w14:paraId="38717D1C">
      <w:pPr>
        <w:widowControl/>
        <w:jc w:val="left"/>
        <w:rPr>
          <w:rFonts w:eastAsia="黑体"/>
          <w:b/>
          <w:color w:val="auto"/>
          <w:sz w:val="44"/>
          <w:highlight w:val="none"/>
        </w:rPr>
      </w:pPr>
      <w:r>
        <w:rPr>
          <w:rFonts w:eastAsia="黑体"/>
          <w:b/>
          <w:color w:val="auto"/>
          <w:sz w:val="44"/>
          <w:highlight w:val="none"/>
        </w:rPr>
        <w:br w:type="page"/>
      </w:r>
    </w:p>
    <w:p w14:paraId="0FC608D6">
      <w:pPr>
        <w:spacing w:line="480" w:lineRule="exact"/>
        <w:jc w:val="center"/>
        <w:rPr>
          <w:rFonts w:eastAsia="黑体"/>
          <w:b/>
          <w:color w:val="auto"/>
          <w:sz w:val="44"/>
          <w:highlight w:val="none"/>
        </w:rPr>
      </w:pPr>
    </w:p>
    <w:p w14:paraId="14ECEDFC">
      <w:pPr>
        <w:spacing w:line="480" w:lineRule="exact"/>
        <w:jc w:val="center"/>
        <w:rPr>
          <w:rFonts w:eastAsia="黑体"/>
          <w:b/>
          <w:color w:val="auto"/>
          <w:sz w:val="44"/>
          <w:highlight w:val="none"/>
        </w:rPr>
      </w:pPr>
    </w:p>
    <w:p w14:paraId="29CBEF26">
      <w:pPr>
        <w:spacing w:line="480" w:lineRule="exact"/>
        <w:jc w:val="center"/>
        <w:rPr>
          <w:rFonts w:eastAsia="黑体"/>
          <w:b/>
          <w:color w:val="auto"/>
          <w:sz w:val="44"/>
          <w:highlight w:val="none"/>
        </w:rPr>
      </w:pPr>
    </w:p>
    <w:p w14:paraId="2AB2AE16">
      <w:pPr>
        <w:spacing w:line="480" w:lineRule="exact"/>
        <w:jc w:val="center"/>
        <w:rPr>
          <w:rFonts w:eastAsia="黑体"/>
          <w:b/>
          <w:color w:val="auto"/>
          <w:sz w:val="44"/>
          <w:highlight w:val="none"/>
        </w:rPr>
      </w:pPr>
    </w:p>
    <w:p w14:paraId="3D4AEF49">
      <w:pPr>
        <w:spacing w:line="480" w:lineRule="exact"/>
        <w:jc w:val="center"/>
        <w:rPr>
          <w:rFonts w:eastAsia="黑体"/>
          <w:b/>
          <w:color w:val="auto"/>
          <w:sz w:val="44"/>
          <w:highlight w:val="none"/>
        </w:rPr>
      </w:pPr>
    </w:p>
    <w:p w14:paraId="483C67C3">
      <w:pPr>
        <w:spacing w:line="480" w:lineRule="exact"/>
        <w:jc w:val="center"/>
        <w:rPr>
          <w:rFonts w:eastAsia="黑体"/>
          <w:b/>
          <w:color w:val="auto"/>
          <w:sz w:val="44"/>
          <w:highlight w:val="none"/>
        </w:rPr>
      </w:pPr>
    </w:p>
    <w:p w14:paraId="1C118F7D">
      <w:pPr>
        <w:spacing w:line="480" w:lineRule="exact"/>
        <w:jc w:val="center"/>
        <w:rPr>
          <w:rFonts w:eastAsia="黑体"/>
          <w:b/>
          <w:color w:val="auto"/>
          <w:sz w:val="44"/>
          <w:highlight w:val="none"/>
        </w:rPr>
      </w:pPr>
    </w:p>
    <w:p w14:paraId="57859C60">
      <w:pPr>
        <w:spacing w:line="480" w:lineRule="exact"/>
        <w:jc w:val="center"/>
        <w:rPr>
          <w:rFonts w:eastAsia="黑体"/>
          <w:b/>
          <w:color w:val="auto"/>
          <w:sz w:val="44"/>
          <w:highlight w:val="none"/>
        </w:rPr>
      </w:pPr>
    </w:p>
    <w:p w14:paraId="2C616A0C">
      <w:pPr>
        <w:spacing w:line="480" w:lineRule="exact"/>
        <w:jc w:val="center"/>
        <w:rPr>
          <w:rFonts w:eastAsia="黑体"/>
          <w:b/>
          <w:color w:val="auto"/>
          <w:sz w:val="44"/>
          <w:highlight w:val="none"/>
        </w:rPr>
      </w:pPr>
    </w:p>
    <w:p w14:paraId="403F0E58">
      <w:pPr>
        <w:spacing w:line="480" w:lineRule="exact"/>
        <w:jc w:val="center"/>
        <w:rPr>
          <w:rFonts w:eastAsia="黑体"/>
          <w:b/>
          <w:color w:val="auto"/>
          <w:sz w:val="44"/>
          <w:highlight w:val="none"/>
        </w:rPr>
      </w:pPr>
    </w:p>
    <w:p w14:paraId="35F38F45">
      <w:pPr>
        <w:spacing w:line="480" w:lineRule="exact"/>
        <w:jc w:val="center"/>
        <w:rPr>
          <w:rFonts w:eastAsia="黑体"/>
          <w:b/>
          <w:color w:val="auto"/>
          <w:sz w:val="44"/>
          <w:highlight w:val="none"/>
        </w:rPr>
      </w:pPr>
    </w:p>
    <w:p w14:paraId="7AFC5487">
      <w:pPr>
        <w:spacing w:line="480" w:lineRule="exact"/>
        <w:jc w:val="center"/>
        <w:rPr>
          <w:rFonts w:eastAsia="黑体"/>
          <w:b/>
          <w:color w:val="auto"/>
          <w:sz w:val="44"/>
          <w:highlight w:val="none"/>
        </w:rPr>
      </w:pPr>
    </w:p>
    <w:p w14:paraId="6C49CE78">
      <w:pPr>
        <w:spacing w:line="480" w:lineRule="exact"/>
        <w:jc w:val="center"/>
        <w:outlineLvl w:val="0"/>
        <w:rPr>
          <w:rFonts w:eastAsia="黑体"/>
          <w:b/>
          <w:color w:val="auto"/>
          <w:sz w:val="44"/>
          <w:highlight w:val="none"/>
        </w:rPr>
      </w:pPr>
      <w:r>
        <w:rPr>
          <w:rFonts w:hint="eastAsia" w:eastAsia="黑体"/>
          <w:b/>
          <w:color w:val="auto"/>
          <w:sz w:val="44"/>
          <w:highlight w:val="none"/>
        </w:rPr>
        <w:t xml:space="preserve">第五部分 </w:t>
      </w:r>
      <w:r>
        <w:rPr>
          <w:rFonts w:eastAsia="黑体"/>
          <w:b/>
          <w:color w:val="auto"/>
          <w:sz w:val="44"/>
          <w:highlight w:val="none"/>
        </w:rPr>
        <w:t xml:space="preserve"> </w:t>
      </w:r>
      <w:r>
        <w:rPr>
          <w:rFonts w:hint="eastAsia" w:eastAsia="黑体"/>
          <w:b/>
          <w:color w:val="auto"/>
          <w:sz w:val="44"/>
          <w:highlight w:val="none"/>
        </w:rPr>
        <w:t>合同书格式</w:t>
      </w:r>
    </w:p>
    <w:p w14:paraId="3E6E5CE2">
      <w:pPr>
        <w:adjustRightInd w:val="0"/>
        <w:snapToGrid w:val="0"/>
        <w:spacing w:line="360" w:lineRule="auto"/>
        <w:jc w:val="center"/>
        <w:rPr>
          <w:rFonts w:hint="eastAsia" w:ascii="宋体" w:hAnsi="宋体"/>
          <w:b/>
          <w:bCs/>
          <w:color w:val="auto"/>
          <w:sz w:val="32"/>
          <w:szCs w:val="32"/>
          <w:highlight w:val="none"/>
        </w:rPr>
      </w:pPr>
      <w:r>
        <w:rPr>
          <w:color w:val="auto"/>
          <w:sz w:val="24"/>
          <w:szCs w:val="24"/>
          <w:highlight w:val="none"/>
        </w:rPr>
        <w:br w:type="page"/>
      </w:r>
    </w:p>
    <w:p w14:paraId="17BD5BB4">
      <w:pPr>
        <w:jc w:val="center"/>
        <w:rPr>
          <w:rFonts w:hint="eastAsia" w:ascii="宋体" w:hAnsi="宋体" w:cs="宋体"/>
          <w:b/>
          <w:bCs/>
          <w:color w:val="auto"/>
          <w:spacing w:val="15"/>
          <w:kern w:val="0"/>
          <w:sz w:val="52"/>
          <w:szCs w:val="52"/>
          <w:highlight w:val="none"/>
        </w:rPr>
      </w:pPr>
    </w:p>
    <w:p w14:paraId="693D9361">
      <w:pPr>
        <w:jc w:val="center"/>
        <w:rPr>
          <w:rFonts w:hint="eastAsia" w:ascii="宋体" w:hAnsi="宋体" w:cs="宋体"/>
          <w:b/>
          <w:color w:val="auto"/>
          <w:kern w:val="0"/>
          <w:sz w:val="52"/>
          <w:szCs w:val="52"/>
          <w:highlight w:val="none"/>
        </w:rPr>
      </w:pPr>
      <w:r>
        <w:rPr>
          <w:rFonts w:hint="eastAsia" w:ascii="宋体" w:hAnsi="宋体" w:cs="宋体"/>
          <w:b/>
          <w:bCs/>
          <w:color w:val="auto"/>
          <w:spacing w:val="15"/>
          <w:kern w:val="0"/>
          <w:sz w:val="52"/>
          <w:szCs w:val="52"/>
          <w:highlight w:val="none"/>
        </w:rPr>
        <w:t>广州工控大湾区现代高端装备研发生产基地项目（三期）宿舍家具采购项目</w:t>
      </w:r>
    </w:p>
    <w:p w14:paraId="36770122">
      <w:pPr>
        <w:jc w:val="center"/>
        <w:rPr>
          <w:rFonts w:hint="eastAsia" w:ascii="宋体" w:hAnsi="宋体" w:cs="宋体"/>
          <w:b/>
          <w:color w:val="auto"/>
          <w:kern w:val="0"/>
          <w:sz w:val="52"/>
          <w:szCs w:val="52"/>
          <w:highlight w:val="none"/>
        </w:rPr>
      </w:pPr>
      <w:r>
        <w:rPr>
          <w:rFonts w:hint="eastAsia" w:ascii="宋体" w:hAnsi="宋体" w:cs="宋体"/>
          <w:b/>
          <w:color w:val="auto"/>
          <w:kern w:val="0"/>
          <w:sz w:val="52"/>
          <w:szCs w:val="52"/>
          <w:highlight w:val="none"/>
        </w:rPr>
        <w:t>合同书模板</w:t>
      </w:r>
    </w:p>
    <w:p w14:paraId="182CC33F">
      <w:pPr>
        <w:shd w:val="clear" w:color="auto" w:fill="FFFFFF"/>
        <w:autoSpaceDE w:val="0"/>
        <w:autoSpaceDN w:val="0"/>
        <w:adjustRightInd w:val="0"/>
        <w:spacing w:before="32"/>
        <w:ind w:left="860" w:right="861"/>
        <w:jc w:val="center"/>
        <w:rPr>
          <w:rFonts w:ascii="方正小标宋简体" w:hAnsi="Times New Roman" w:eastAsia="方正小标宋简体" w:cs="宋体"/>
          <w:b/>
          <w:color w:val="auto"/>
          <w:kern w:val="0"/>
          <w:sz w:val="30"/>
          <w:szCs w:val="30"/>
          <w:highlight w:val="none"/>
        </w:rPr>
      </w:pPr>
    </w:p>
    <w:p w14:paraId="20602288">
      <w:pPr>
        <w:shd w:val="clear" w:color="auto" w:fill="FFFFFF"/>
        <w:autoSpaceDE w:val="0"/>
        <w:autoSpaceDN w:val="0"/>
        <w:adjustRightInd w:val="0"/>
        <w:spacing w:before="32"/>
        <w:ind w:left="860" w:right="861"/>
        <w:rPr>
          <w:rFonts w:ascii="Times New Roman" w:hAnsi="Times New Roman" w:cs="宋体"/>
          <w:color w:val="auto"/>
          <w:kern w:val="0"/>
          <w:sz w:val="30"/>
          <w:szCs w:val="30"/>
          <w:highlight w:val="none"/>
        </w:rPr>
      </w:pPr>
    </w:p>
    <w:p w14:paraId="68C1AC1B">
      <w:pPr>
        <w:shd w:val="clear" w:color="auto" w:fill="FFFFFF"/>
        <w:autoSpaceDE w:val="0"/>
        <w:autoSpaceDN w:val="0"/>
        <w:adjustRightInd w:val="0"/>
        <w:spacing w:before="32"/>
        <w:ind w:right="861" w:firstLine="2100" w:firstLineChars="700"/>
        <w:rPr>
          <w:rFonts w:ascii="Times New Roman" w:hAnsi="Times New Roman" w:cs="宋体"/>
          <w:color w:val="auto"/>
          <w:kern w:val="0"/>
          <w:sz w:val="24"/>
          <w:szCs w:val="24"/>
          <w:highlight w:val="none"/>
          <w:u w:val="single"/>
        </w:rPr>
      </w:pPr>
      <w:r>
        <w:rPr>
          <w:rFonts w:hint="eastAsia" w:ascii="Times New Roman" w:hAnsi="Times New Roman" w:cs="宋体"/>
          <w:color w:val="auto"/>
          <w:kern w:val="0"/>
          <w:sz w:val="30"/>
          <w:szCs w:val="30"/>
          <w:highlight w:val="none"/>
        </w:rPr>
        <w:t>合同</w:t>
      </w:r>
      <w:r>
        <w:rPr>
          <w:rFonts w:ascii="Times New Roman" w:hAnsi="Times New Roman" w:cs="宋体"/>
          <w:color w:val="auto"/>
          <w:kern w:val="0"/>
          <w:sz w:val="30"/>
          <w:szCs w:val="30"/>
          <w:highlight w:val="none"/>
        </w:rPr>
        <w:t>编号：</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 xml:space="preserve">                </w:t>
      </w:r>
    </w:p>
    <w:p w14:paraId="2EB7A439">
      <w:pPr>
        <w:shd w:val="clear" w:color="auto" w:fill="FFFFFF"/>
        <w:autoSpaceDE w:val="0"/>
        <w:autoSpaceDN w:val="0"/>
        <w:adjustRightInd w:val="0"/>
        <w:spacing w:before="32"/>
        <w:ind w:left="860" w:right="861"/>
        <w:jc w:val="center"/>
        <w:rPr>
          <w:rFonts w:ascii="Times New Roman" w:hAnsi="Times New Roman" w:cs="宋体"/>
          <w:color w:val="auto"/>
          <w:kern w:val="0"/>
          <w:sz w:val="52"/>
          <w:szCs w:val="52"/>
          <w:highlight w:val="none"/>
        </w:rPr>
      </w:pPr>
    </w:p>
    <w:p w14:paraId="031CA11A">
      <w:pPr>
        <w:shd w:val="clear" w:color="auto" w:fill="FFFFFF"/>
        <w:autoSpaceDE w:val="0"/>
        <w:autoSpaceDN w:val="0"/>
        <w:adjustRightInd w:val="0"/>
        <w:spacing w:before="32"/>
        <w:ind w:left="860" w:right="861"/>
        <w:jc w:val="center"/>
        <w:rPr>
          <w:rFonts w:ascii="Times New Roman" w:hAnsi="Times New Roman" w:cs="宋体"/>
          <w:color w:val="auto"/>
          <w:kern w:val="0"/>
          <w:sz w:val="52"/>
          <w:szCs w:val="52"/>
          <w:highlight w:val="none"/>
        </w:rPr>
      </w:pPr>
    </w:p>
    <w:p w14:paraId="667A1BE7">
      <w:pPr>
        <w:shd w:val="clear" w:color="auto" w:fill="FFFFFF"/>
        <w:autoSpaceDE w:val="0"/>
        <w:autoSpaceDN w:val="0"/>
        <w:adjustRightInd w:val="0"/>
        <w:spacing w:before="32"/>
        <w:ind w:left="860" w:right="861"/>
        <w:jc w:val="center"/>
        <w:rPr>
          <w:rFonts w:ascii="宋体" w:hAnsi="Times New Roman" w:cs="宋体"/>
          <w:color w:val="auto"/>
          <w:kern w:val="0"/>
          <w:sz w:val="52"/>
          <w:szCs w:val="52"/>
          <w:highlight w:val="none"/>
        </w:rPr>
      </w:pPr>
    </w:p>
    <w:p w14:paraId="5BDD8493">
      <w:pPr>
        <w:shd w:val="clear" w:color="auto" w:fill="FFFFFF"/>
        <w:autoSpaceDE w:val="0"/>
        <w:autoSpaceDN w:val="0"/>
        <w:adjustRightInd w:val="0"/>
        <w:spacing w:line="480" w:lineRule="auto"/>
        <w:rPr>
          <w:rFonts w:ascii="宋体" w:hAnsi="Times New Roman" w:cs="宋体"/>
          <w:color w:val="auto"/>
          <w:kern w:val="0"/>
          <w:sz w:val="20"/>
          <w:szCs w:val="24"/>
          <w:highlight w:val="none"/>
        </w:rPr>
      </w:pPr>
    </w:p>
    <w:p w14:paraId="11369D0B">
      <w:pPr>
        <w:shd w:val="clear" w:color="auto" w:fill="FFFFFF"/>
        <w:autoSpaceDE w:val="0"/>
        <w:autoSpaceDN w:val="0"/>
        <w:adjustRightInd w:val="0"/>
        <w:spacing w:line="480" w:lineRule="auto"/>
        <w:rPr>
          <w:rFonts w:ascii="宋体" w:hAnsi="Times New Roman" w:cs="宋体"/>
          <w:color w:val="auto"/>
          <w:kern w:val="0"/>
          <w:sz w:val="20"/>
          <w:szCs w:val="24"/>
          <w:highlight w:val="none"/>
        </w:rPr>
      </w:pPr>
    </w:p>
    <w:p w14:paraId="7E6240CF">
      <w:pPr>
        <w:shd w:val="clear" w:color="auto" w:fill="FFFFFF"/>
        <w:autoSpaceDE w:val="0"/>
        <w:autoSpaceDN w:val="0"/>
        <w:adjustRightInd w:val="0"/>
        <w:spacing w:line="480" w:lineRule="auto"/>
        <w:rPr>
          <w:rFonts w:ascii="宋体" w:hAnsi="Times New Roman" w:cs="宋体"/>
          <w:color w:val="auto"/>
          <w:kern w:val="0"/>
          <w:sz w:val="20"/>
          <w:szCs w:val="24"/>
          <w:highlight w:val="none"/>
        </w:rPr>
      </w:pPr>
    </w:p>
    <w:p w14:paraId="17EF1150">
      <w:pPr>
        <w:shd w:val="clear" w:color="auto" w:fill="FFFFFF"/>
        <w:tabs>
          <w:tab w:val="left" w:pos="8560"/>
        </w:tabs>
        <w:autoSpaceDE w:val="0"/>
        <w:autoSpaceDN w:val="0"/>
        <w:adjustRightInd w:val="0"/>
        <w:spacing w:line="480" w:lineRule="auto"/>
        <w:ind w:right="-20"/>
        <w:rPr>
          <w:rFonts w:ascii="宋体" w:hAnsi="Times New Roman" w:cs="宋体"/>
          <w:color w:val="auto"/>
          <w:kern w:val="0"/>
          <w:sz w:val="30"/>
          <w:szCs w:val="30"/>
          <w:highlight w:val="none"/>
          <w:u w:val="single"/>
        </w:rPr>
      </w:pPr>
      <w:r>
        <w:rPr>
          <w:rFonts w:hint="eastAsia" w:ascii="宋体" w:hAnsi="Times New Roman" w:cs="宋体"/>
          <w:color w:val="auto"/>
          <w:kern w:val="0"/>
          <w:position w:val="-3"/>
          <w:sz w:val="30"/>
          <w:szCs w:val="30"/>
          <w:highlight w:val="none"/>
        </w:rPr>
        <w:t>甲方：</w:t>
      </w:r>
      <w:r>
        <w:rPr>
          <w:rFonts w:hint="eastAsia" w:ascii="宋体" w:hAnsi="Times New Roman" w:cs="宋体"/>
          <w:color w:val="auto"/>
          <w:kern w:val="0"/>
          <w:sz w:val="30"/>
          <w:szCs w:val="30"/>
          <w:highlight w:val="none"/>
          <w:u w:val="single"/>
        </w:rPr>
        <w:t xml:space="preserve">                             </w:t>
      </w:r>
    </w:p>
    <w:p w14:paraId="470043C4">
      <w:pPr>
        <w:shd w:val="clear" w:color="auto" w:fill="FFFFFF"/>
        <w:tabs>
          <w:tab w:val="left" w:pos="8560"/>
        </w:tabs>
        <w:autoSpaceDE w:val="0"/>
        <w:autoSpaceDN w:val="0"/>
        <w:adjustRightInd w:val="0"/>
        <w:spacing w:line="480" w:lineRule="auto"/>
        <w:ind w:right="-20"/>
        <w:jc w:val="left"/>
        <w:rPr>
          <w:rFonts w:ascii="宋体" w:hAnsi="Times New Roman" w:cs="宋体"/>
          <w:color w:val="auto"/>
          <w:kern w:val="0"/>
          <w:sz w:val="30"/>
          <w:szCs w:val="30"/>
          <w:highlight w:val="none"/>
          <w:u w:val="single"/>
        </w:rPr>
      </w:pPr>
      <w:r>
        <w:rPr>
          <w:rFonts w:hint="eastAsia" w:ascii="宋体" w:hAnsi="Times New Roman" w:cs="宋体"/>
          <w:color w:val="auto"/>
          <w:kern w:val="0"/>
          <w:sz w:val="30"/>
          <w:szCs w:val="30"/>
          <w:highlight w:val="none"/>
        </w:rPr>
        <w:t>乙方：</w:t>
      </w:r>
      <w:r>
        <w:rPr>
          <w:rFonts w:hint="eastAsia" w:ascii="宋体" w:hAnsi="Times New Roman" w:cs="宋体"/>
          <w:color w:val="auto"/>
          <w:kern w:val="0"/>
          <w:sz w:val="30"/>
          <w:szCs w:val="30"/>
          <w:highlight w:val="none"/>
          <w:u w:val="single"/>
        </w:rPr>
        <w:t xml:space="preserve"> </w:t>
      </w:r>
      <w:r>
        <w:rPr>
          <w:rFonts w:ascii="宋体" w:hAnsi="Times New Roman" w:cs="宋体"/>
          <w:color w:val="auto"/>
          <w:kern w:val="0"/>
          <w:sz w:val="30"/>
          <w:szCs w:val="30"/>
          <w:highlight w:val="none"/>
          <w:u w:val="single"/>
        </w:rPr>
        <w:t xml:space="preserve">                             </w:t>
      </w:r>
    </w:p>
    <w:p w14:paraId="3C884014">
      <w:pPr>
        <w:shd w:val="clear" w:color="auto" w:fill="FFFFFF"/>
        <w:tabs>
          <w:tab w:val="left" w:pos="8560"/>
        </w:tabs>
        <w:autoSpaceDE w:val="0"/>
        <w:autoSpaceDN w:val="0"/>
        <w:adjustRightInd w:val="0"/>
        <w:spacing w:line="480" w:lineRule="auto"/>
        <w:ind w:right="-20" w:firstLine="300" w:firstLineChars="100"/>
        <w:jc w:val="left"/>
        <w:rPr>
          <w:rFonts w:ascii="宋体" w:hAnsi="Times New Roman" w:cs="宋体"/>
          <w:color w:val="auto"/>
          <w:kern w:val="0"/>
          <w:sz w:val="30"/>
          <w:szCs w:val="30"/>
          <w:highlight w:val="none"/>
        </w:rPr>
      </w:pPr>
      <w:r>
        <w:rPr>
          <w:rFonts w:hint="eastAsia" w:ascii="宋体" w:hAnsi="Times New Roman" w:cs="宋体"/>
          <w:color w:val="auto"/>
          <w:kern w:val="0"/>
          <w:sz w:val="30"/>
          <w:szCs w:val="30"/>
          <w:highlight w:val="none"/>
        </w:rPr>
        <w:t>签订</w:t>
      </w:r>
      <w:r>
        <w:rPr>
          <w:rFonts w:ascii="宋体" w:hAnsi="Times New Roman" w:cs="宋体"/>
          <w:color w:val="auto"/>
          <w:kern w:val="0"/>
          <w:sz w:val="30"/>
          <w:szCs w:val="30"/>
          <w:highlight w:val="none"/>
        </w:rPr>
        <w:t>时间：</w:t>
      </w:r>
      <w:r>
        <w:rPr>
          <w:rFonts w:hint="eastAsia" w:ascii="宋体" w:hAnsi="Times New Roman" w:cs="宋体"/>
          <w:color w:val="auto"/>
          <w:kern w:val="0"/>
          <w:sz w:val="30"/>
          <w:szCs w:val="30"/>
          <w:highlight w:val="none"/>
        </w:rPr>
        <w:t>XXXX年XX月XX日（以合同签订时间为准）</w:t>
      </w:r>
    </w:p>
    <w:p w14:paraId="57AF9086">
      <w:pPr>
        <w:widowControl/>
        <w:jc w:val="left"/>
        <w:rPr>
          <w:rFonts w:hint="eastAsia" w:ascii="Arial" w:hAnsi="宋体"/>
          <w:b/>
          <w:bCs/>
          <w:smallCaps/>
          <w:color w:val="auto"/>
          <w:sz w:val="30"/>
          <w:szCs w:val="30"/>
          <w:highlight w:val="none"/>
        </w:rPr>
      </w:pPr>
      <w:r>
        <w:rPr>
          <w:rFonts w:hint="eastAsia" w:ascii="Arial" w:hAnsi="宋体"/>
          <w:b/>
          <w:bCs/>
          <w:smallCaps/>
          <w:color w:val="auto"/>
          <w:sz w:val="30"/>
          <w:szCs w:val="30"/>
          <w:highlight w:val="none"/>
        </w:rPr>
        <w:br w:type="page"/>
      </w:r>
    </w:p>
    <w:p w14:paraId="2E6441FD">
      <w:pPr>
        <w:tabs>
          <w:tab w:val="left" w:pos="0"/>
          <w:tab w:val="right" w:leader="dot" w:pos="8948"/>
        </w:tabs>
        <w:spacing w:line="348" w:lineRule="auto"/>
        <w:ind w:left="1" w:hanging="1"/>
        <w:jc w:val="center"/>
        <w:rPr>
          <w:rFonts w:hint="eastAsia" w:ascii="Arial" w:hAnsi="宋体"/>
          <w:b/>
          <w:bCs/>
          <w:smallCaps/>
          <w:color w:val="auto"/>
          <w:sz w:val="30"/>
          <w:szCs w:val="30"/>
          <w:highlight w:val="none"/>
        </w:rPr>
      </w:pPr>
      <w:r>
        <w:rPr>
          <w:rFonts w:hint="eastAsia" w:ascii="Arial" w:hAnsi="宋体"/>
          <w:b/>
          <w:bCs/>
          <w:smallCaps/>
          <w:color w:val="auto"/>
          <w:sz w:val="30"/>
          <w:szCs w:val="30"/>
          <w:highlight w:val="none"/>
        </w:rPr>
        <w:t>广州工控大湾区现代高端装备研发生产基地项目（三期）宿舍家具采购项目相关服务合同</w:t>
      </w:r>
    </w:p>
    <w:p w14:paraId="4F87E82E">
      <w:pPr>
        <w:snapToGrid w:val="0"/>
        <w:spacing w:line="360" w:lineRule="auto"/>
        <w:ind w:firstLine="420" w:firstLineChars="200"/>
        <w:rPr>
          <w:color w:val="auto"/>
          <w:szCs w:val="21"/>
          <w:highlight w:val="none"/>
        </w:rPr>
      </w:pPr>
    </w:p>
    <w:p w14:paraId="620CA3C5">
      <w:pPr>
        <w:snapToGrid w:val="0"/>
        <w:spacing w:line="360" w:lineRule="auto"/>
        <w:rPr>
          <w:rFonts w:hint="eastAsia" w:ascii="宋体" w:hAnsi="宋体"/>
          <w:b/>
          <w:color w:val="auto"/>
          <w:szCs w:val="21"/>
          <w:highlight w:val="none"/>
          <w:u w:val="single"/>
        </w:rPr>
      </w:pPr>
      <w:r>
        <w:rPr>
          <w:rFonts w:hint="eastAsia" w:ascii="宋体" w:hAnsi="宋体"/>
          <w:b/>
          <w:bCs/>
          <w:color w:val="auto"/>
          <w:szCs w:val="21"/>
          <w:highlight w:val="none"/>
        </w:rPr>
        <w:t>甲方：</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val="en-US" w:eastAsia="zh-CN"/>
        </w:rPr>
        <w:t xml:space="preserve">                 </w:t>
      </w:r>
      <w:r>
        <w:rPr>
          <w:rFonts w:hint="eastAsia" w:ascii="宋体" w:hAnsi="宋体"/>
          <w:b/>
          <w:color w:val="auto"/>
          <w:szCs w:val="21"/>
          <w:highlight w:val="none"/>
          <w:u w:val="single"/>
        </w:rPr>
        <w:t xml:space="preserve">  </w:t>
      </w:r>
    </w:p>
    <w:p w14:paraId="70FDFAD9">
      <w:pPr>
        <w:snapToGrid w:val="0"/>
        <w:spacing w:line="360" w:lineRule="auto"/>
        <w:rPr>
          <w:rFonts w:hint="eastAsia" w:ascii="宋体" w:hAnsi="宋体"/>
          <w:b/>
          <w:color w:val="auto"/>
          <w:szCs w:val="21"/>
          <w:highlight w:val="none"/>
        </w:rPr>
      </w:pPr>
      <w:r>
        <w:rPr>
          <w:rFonts w:hint="eastAsia" w:ascii="宋体" w:hAnsi="宋体"/>
          <w:b/>
          <w:color w:val="auto"/>
          <w:szCs w:val="21"/>
          <w:highlight w:val="none"/>
        </w:rPr>
        <w:t>地址：</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val="en-US" w:eastAsia="zh-CN"/>
        </w:rPr>
        <w:t xml:space="preserve">             </w:t>
      </w:r>
      <w:r>
        <w:rPr>
          <w:rFonts w:hint="eastAsia" w:ascii="宋体" w:hAnsi="宋体"/>
          <w:b/>
          <w:color w:val="auto"/>
          <w:szCs w:val="21"/>
          <w:highlight w:val="none"/>
          <w:u w:val="single"/>
        </w:rPr>
        <w:t xml:space="preserve">    </w:t>
      </w:r>
    </w:p>
    <w:p w14:paraId="09BB2FAC">
      <w:pPr>
        <w:snapToGrid w:val="0"/>
        <w:spacing w:line="360" w:lineRule="auto"/>
        <w:rPr>
          <w:rFonts w:hint="eastAsia" w:ascii="宋体" w:hAnsi="宋体"/>
          <w:b/>
          <w:color w:val="auto"/>
          <w:szCs w:val="21"/>
          <w:highlight w:val="none"/>
          <w:u w:val="single"/>
        </w:rPr>
      </w:pPr>
      <w:r>
        <w:rPr>
          <w:rFonts w:hint="eastAsia" w:ascii="宋体" w:hAnsi="宋体"/>
          <w:b/>
          <w:color w:val="auto"/>
          <w:szCs w:val="21"/>
          <w:highlight w:val="none"/>
        </w:rPr>
        <w:t>联系人：</w:t>
      </w:r>
      <w:r>
        <w:rPr>
          <w:rFonts w:hint="eastAsia" w:ascii="宋体" w:hAnsi="宋体"/>
          <w:b/>
          <w:color w:val="auto"/>
          <w:szCs w:val="21"/>
          <w:highlight w:val="none"/>
          <w:u w:val="single"/>
        </w:rPr>
        <w:t xml:space="preserve">            </w:t>
      </w:r>
      <w:r>
        <w:rPr>
          <w:rFonts w:hint="eastAsia" w:ascii="宋体" w:hAnsi="宋体"/>
          <w:b/>
          <w:color w:val="auto"/>
          <w:szCs w:val="21"/>
          <w:highlight w:val="none"/>
        </w:rPr>
        <w:t>电话：</w:t>
      </w:r>
      <w:r>
        <w:rPr>
          <w:rFonts w:hint="eastAsia" w:ascii="宋体" w:hAnsi="宋体"/>
          <w:b/>
          <w:color w:val="auto"/>
          <w:szCs w:val="21"/>
          <w:highlight w:val="none"/>
          <w:u w:val="single"/>
        </w:rPr>
        <w:t xml:space="preserve">                 </w:t>
      </w:r>
      <w:r>
        <w:rPr>
          <w:rFonts w:ascii="宋体" w:hAnsi="宋体"/>
          <w:b/>
          <w:color w:val="auto"/>
          <w:szCs w:val="21"/>
          <w:highlight w:val="none"/>
          <w:u w:val="single"/>
        </w:rPr>
        <w:t xml:space="preserve"> </w:t>
      </w:r>
      <w:r>
        <w:rPr>
          <w:rFonts w:ascii="宋体" w:hAnsi="宋体"/>
          <w:b/>
          <w:color w:val="auto"/>
          <w:szCs w:val="21"/>
          <w:highlight w:val="none"/>
        </w:rPr>
        <w:t xml:space="preserve">   </w:t>
      </w:r>
      <w:r>
        <w:rPr>
          <w:rFonts w:hint="eastAsia" w:ascii="宋体" w:hAnsi="宋体"/>
          <w:b/>
          <w:color w:val="auto"/>
          <w:szCs w:val="21"/>
          <w:highlight w:val="none"/>
        </w:rPr>
        <w:t>传  真：</w:t>
      </w:r>
      <w:r>
        <w:rPr>
          <w:rFonts w:hint="eastAsia" w:ascii="宋体" w:hAnsi="宋体"/>
          <w:b/>
          <w:color w:val="auto"/>
          <w:szCs w:val="21"/>
          <w:highlight w:val="none"/>
          <w:u w:val="single"/>
        </w:rPr>
        <w:t xml:space="preserve">           </w:t>
      </w:r>
    </w:p>
    <w:p w14:paraId="72BA18B0">
      <w:pPr>
        <w:snapToGrid w:val="0"/>
        <w:spacing w:line="360" w:lineRule="auto"/>
        <w:rPr>
          <w:rFonts w:hint="eastAsia" w:ascii="宋体" w:hAnsi="宋体"/>
          <w:b/>
          <w:color w:val="auto"/>
          <w:szCs w:val="21"/>
          <w:highlight w:val="none"/>
        </w:rPr>
      </w:pPr>
    </w:p>
    <w:p w14:paraId="1DD13645">
      <w:pPr>
        <w:snapToGrid w:val="0"/>
        <w:spacing w:line="360" w:lineRule="auto"/>
        <w:rPr>
          <w:rFonts w:hint="eastAsia" w:ascii="宋体" w:hAnsi="宋体"/>
          <w:b/>
          <w:color w:val="auto"/>
          <w:szCs w:val="21"/>
          <w:highlight w:val="none"/>
        </w:rPr>
      </w:pPr>
      <w:r>
        <w:rPr>
          <w:rFonts w:hint="eastAsia" w:ascii="宋体" w:hAnsi="宋体"/>
          <w:b/>
          <w:color w:val="auto"/>
          <w:szCs w:val="21"/>
          <w:highlight w:val="none"/>
        </w:rPr>
        <w:t>乙方：</w:t>
      </w:r>
      <w:r>
        <w:rPr>
          <w:rFonts w:hint="eastAsia" w:ascii="宋体" w:hAnsi="宋体"/>
          <w:b/>
          <w:color w:val="auto"/>
          <w:szCs w:val="21"/>
          <w:highlight w:val="none"/>
          <w:u w:val="single"/>
        </w:rPr>
        <w:t xml:space="preserve">  </w:t>
      </w:r>
      <w:r>
        <w:rPr>
          <w:rFonts w:ascii="宋体" w:hAnsi="宋体"/>
          <w:b/>
          <w:color w:val="auto"/>
          <w:szCs w:val="21"/>
          <w:highlight w:val="none"/>
          <w:u w:val="single"/>
        </w:rPr>
        <w:t xml:space="preserve">                   </w:t>
      </w:r>
    </w:p>
    <w:p w14:paraId="5D6FA315">
      <w:pPr>
        <w:snapToGrid w:val="0"/>
        <w:spacing w:line="360" w:lineRule="auto"/>
        <w:rPr>
          <w:rFonts w:hint="eastAsia" w:ascii="宋体" w:hAnsi="宋体"/>
          <w:b/>
          <w:color w:val="auto"/>
          <w:szCs w:val="21"/>
          <w:highlight w:val="none"/>
        </w:rPr>
      </w:pPr>
      <w:r>
        <w:rPr>
          <w:rFonts w:hint="eastAsia" w:ascii="宋体" w:hAnsi="宋体"/>
          <w:b/>
          <w:color w:val="auto"/>
          <w:szCs w:val="21"/>
          <w:highlight w:val="none"/>
        </w:rPr>
        <w:t>地址：</w:t>
      </w:r>
      <w:r>
        <w:rPr>
          <w:rFonts w:hint="eastAsia" w:ascii="宋体" w:hAnsi="宋体"/>
          <w:b/>
          <w:color w:val="auto"/>
          <w:szCs w:val="21"/>
          <w:highlight w:val="none"/>
          <w:u w:val="single"/>
        </w:rPr>
        <w:t xml:space="preserve">            </w:t>
      </w:r>
      <w:r>
        <w:rPr>
          <w:rFonts w:ascii="宋体" w:hAnsi="宋体"/>
          <w:b/>
          <w:color w:val="auto"/>
          <w:szCs w:val="21"/>
          <w:highlight w:val="none"/>
          <w:u w:val="single"/>
        </w:rPr>
        <w:t xml:space="preserve">      </w:t>
      </w:r>
      <w:r>
        <w:rPr>
          <w:rFonts w:hint="eastAsia" w:ascii="宋体" w:hAnsi="宋体"/>
          <w:b/>
          <w:color w:val="auto"/>
          <w:szCs w:val="21"/>
          <w:highlight w:val="none"/>
          <w:u w:val="single"/>
        </w:rPr>
        <w:t xml:space="preserve">   </w:t>
      </w:r>
      <w:r>
        <w:rPr>
          <w:rFonts w:hint="eastAsia" w:ascii="宋体" w:hAnsi="宋体"/>
          <w:b/>
          <w:color w:val="auto"/>
          <w:szCs w:val="21"/>
          <w:highlight w:val="none"/>
        </w:rPr>
        <w:t xml:space="preserve">  </w:t>
      </w:r>
    </w:p>
    <w:p w14:paraId="542F6B5A">
      <w:pPr>
        <w:snapToGrid w:val="0"/>
        <w:spacing w:line="360" w:lineRule="auto"/>
        <w:rPr>
          <w:rFonts w:hint="eastAsia" w:ascii="宋体" w:hAnsi="宋体"/>
          <w:b/>
          <w:color w:val="auto"/>
          <w:szCs w:val="21"/>
          <w:highlight w:val="none"/>
          <w:u w:val="single"/>
        </w:rPr>
      </w:pPr>
      <w:r>
        <w:rPr>
          <w:rFonts w:hint="eastAsia" w:ascii="宋体" w:hAnsi="宋体"/>
          <w:b/>
          <w:color w:val="auto"/>
          <w:szCs w:val="21"/>
          <w:highlight w:val="none"/>
        </w:rPr>
        <w:t>联系人：</w:t>
      </w:r>
      <w:r>
        <w:rPr>
          <w:rFonts w:ascii="宋体" w:hAnsi="宋体"/>
          <w:b/>
          <w:color w:val="auto"/>
          <w:szCs w:val="21"/>
          <w:highlight w:val="none"/>
          <w:u w:val="single"/>
        </w:rPr>
        <w:t xml:space="preserve">     </w:t>
      </w:r>
      <w:r>
        <w:rPr>
          <w:rFonts w:hint="eastAsia" w:ascii="宋体" w:hAnsi="宋体"/>
          <w:b/>
          <w:color w:val="auto"/>
          <w:szCs w:val="21"/>
          <w:highlight w:val="none"/>
          <w:u w:val="single"/>
        </w:rPr>
        <w:t xml:space="preserve">      </w:t>
      </w:r>
      <w:r>
        <w:rPr>
          <w:rFonts w:hint="eastAsia" w:ascii="宋体" w:hAnsi="宋体"/>
          <w:b/>
          <w:color w:val="auto"/>
          <w:szCs w:val="21"/>
          <w:highlight w:val="none"/>
        </w:rPr>
        <w:t>电话：</w:t>
      </w:r>
      <w:r>
        <w:rPr>
          <w:rFonts w:ascii="宋体" w:hAnsi="宋体"/>
          <w:b/>
          <w:color w:val="auto"/>
          <w:szCs w:val="21"/>
          <w:highlight w:val="none"/>
          <w:u w:val="single"/>
        </w:rPr>
        <w:t xml:space="preserve">              </w:t>
      </w:r>
      <w:r>
        <w:rPr>
          <w:rFonts w:hint="eastAsia" w:ascii="宋体" w:hAnsi="宋体"/>
          <w:b/>
          <w:color w:val="auto"/>
          <w:szCs w:val="21"/>
          <w:highlight w:val="none"/>
          <w:u w:val="single"/>
        </w:rPr>
        <w:t xml:space="preserve">  </w:t>
      </w:r>
      <w:r>
        <w:rPr>
          <w:rFonts w:hint="eastAsia" w:ascii="宋体" w:hAnsi="宋体"/>
          <w:b/>
          <w:color w:val="auto"/>
          <w:szCs w:val="21"/>
          <w:highlight w:val="none"/>
        </w:rPr>
        <w:t xml:space="preserve">  传真：</w:t>
      </w:r>
      <w:r>
        <w:rPr>
          <w:rFonts w:ascii="宋体" w:hAnsi="宋体"/>
          <w:b/>
          <w:color w:val="auto"/>
          <w:szCs w:val="21"/>
          <w:highlight w:val="none"/>
          <w:u w:val="single"/>
        </w:rPr>
        <w:t xml:space="preserve">             </w:t>
      </w:r>
    </w:p>
    <w:p w14:paraId="63ECFB0F">
      <w:pPr>
        <w:snapToGrid w:val="0"/>
        <w:spacing w:line="360" w:lineRule="auto"/>
        <w:ind w:firstLine="340" w:firstLineChars="162"/>
        <w:rPr>
          <w:rFonts w:hint="eastAsia" w:ascii="宋体" w:hAnsi="宋体"/>
          <w:color w:val="auto"/>
          <w:szCs w:val="21"/>
          <w:highlight w:val="none"/>
        </w:rPr>
      </w:pPr>
    </w:p>
    <w:p w14:paraId="06951A9B">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根据《中华人民共和国民法典》及其他有关法律、法规的规定，买卖双方在平等、自愿、公平、诚实信用的基础上就本项目买卖事宜达成协议如下：</w:t>
      </w:r>
    </w:p>
    <w:p w14:paraId="1A93D2B7">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第一条 合同标的</w:t>
      </w:r>
    </w:p>
    <w:p w14:paraId="71DD63A0">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1、本合同标的为用于项目的货物。</w:t>
      </w:r>
    </w:p>
    <w:p w14:paraId="3872DB94">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 xml:space="preserve">2、项目编号： </w:t>
      </w:r>
    </w:p>
    <w:p w14:paraId="763AD979">
      <w:pPr>
        <w:snapToGrid w:val="0"/>
        <w:spacing w:line="360" w:lineRule="auto"/>
        <w:ind w:firstLine="550" w:firstLineChars="262"/>
        <w:rPr>
          <w:rFonts w:hint="eastAsia" w:ascii="宋体" w:hAnsi="宋体"/>
          <w:color w:val="auto"/>
          <w:szCs w:val="21"/>
          <w:highlight w:val="none"/>
        </w:rPr>
      </w:pPr>
      <w:r>
        <w:rPr>
          <w:rFonts w:hint="eastAsia" w:ascii="宋体" w:hAnsi="宋体"/>
          <w:color w:val="auto"/>
          <w:szCs w:val="21"/>
          <w:highlight w:val="none"/>
        </w:rPr>
        <w:t>货物的名称、型号、规格、数量及配件、技术规范、随机资料等详细内容如下：</w:t>
      </w:r>
    </w:p>
    <w:tbl>
      <w:tblPr>
        <w:tblStyle w:val="22"/>
        <w:tblpPr w:leftFromText="180" w:rightFromText="180" w:vertAnchor="text" w:horzAnchor="margin" w:tblpXSpec="center" w:tblpY="9"/>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307"/>
        <w:gridCol w:w="2268"/>
        <w:gridCol w:w="709"/>
        <w:gridCol w:w="992"/>
        <w:gridCol w:w="1276"/>
        <w:gridCol w:w="1926"/>
      </w:tblGrid>
      <w:tr w14:paraId="7E9D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08280E3E">
            <w:pPr>
              <w:tabs>
                <w:tab w:val="left" w:pos="540"/>
                <w:tab w:val="left" w:pos="1080"/>
              </w:tabs>
              <w:adjustRightInd w:val="0"/>
              <w:snapToGrid w:val="0"/>
              <w:spacing w:line="300" w:lineRule="auto"/>
              <w:jc w:val="left"/>
              <w:rPr>
                <w:rFonts w:hint="eastAsia" w:ascii="宋体" w:hAnsi="宋体"/>
                <w:b/>
                <w:bCs/>
                <w:color w:val="auto"/>
                <w:szCs w:val="21"/>
                <w:highlight w:val="none"/>
              </w:rPr>
            </w:pPr>
            <w:r>
              <w:rPr>
                <w:rFonts w:hint="eastAsia" w:ascii="宋体" w:hAnsi="宋体"/>
                <w:b/>
                <w:bCs/>
                <w:color w:val="auto"/>
                <w:szCs w:val="21"/>
                <w:highlight w:val="none"/>
              </w:rPr>
              <w:t>序号</w:t>
            </w:r>
          </w:p>
        </w:tc>
        <w:tc>
          <w:tcPr>
            <w:tcW w:w="1307" w:type="dxa"/>
            <w:vAlign w:val="center"/>
          </w:tcPr>
          <w:p w14:paraId="7FC3FFAE">
            <w:pPr>
              <w:tabs>
                <w:tab w:val="left" w:pos="540"/>
                <w:tab w:val="left" w:pos="1080"/>
              </w:tabs>
              <w:adjustRightInd w:val="0"/>
              <w:snapToGrid w:val="0"/>
              <w:spacing w:line="300" w:lineRule="auto"/>
              <w:jc w:val="center"/>
              <w:rPr>
                <w:rFonts w:hint="eastAsia" w:ascii="宋体" w:hAnsi="宋体"/>
                <w:b/>
                <w:bCs/>
                <w:color w:val="auto"/>
                <w:szCs w:val="21"/>
                <w:highlight w:val="none"/>
              </w:rPr>
            </w:pPr>
            <w:r>
              <w:rPr>
                <w:rFonts w:hint="eastAsia" w:ascii="宋体" w:hAnsi="宋体"/>
                <w:b/>
                <w:bCs/>
                <w:color w:val="auto"/>
                <w:szCs w:val="21"/>
                <w:highlight w:val="none"/>
              </w:rPr>
              <w:t>产品名称</w:t>
            </w:r>
          </w:p>
        </w:tc>
        <w:tc>
          <w:tcPr>
            <w:tcW w:w="2268" w:type="dxa"/>
            <w:vAlign w:val="center"/>
          </w:tcPr>
          <w:p w14:paraId="5E91917C">
            <w:pPr>
              <w:tabs>
                <w:tab w:val="left" w:pos="540"/>
                <w:tab w:val="left" w:pos="1080"/>
              </w:tabs>
              <w:adjustRightInd w:val="0"/>
              <w:snapToGrid w:val="0"/>
              <w:spacing w:line="300" w:lineRule="auto"/>
              <w:ind w:firstLine="316" w:firstLineChars="150"/>
              <w:jc w:val="center"/>
              <w:rPr>
                <w:rFonts w:hint="eastAsia" w:ascii="宋体" w:hAnsi="宋体"/>
                <w:b/>
                <w:bCs/>
                <w:color w:val="auto"/>
                <w:szCs w:val="21"/>
                <w:highlight w:val="none"/>
              </w:rPr>
            </w:pPr>
            <w:r>
              <w:rPr>
                <w:rFonts w:hint="eastAsia" w:ascii="宋体" w:hAnsi="宋体"/>
                <w:b/>
                <w:bCs/>
                <w:color w:val="auto"/>
                <w:szCs w:val="21"/>
                <w:highlight w:val="none"/>
              </w:rPr>
              <w:t>型号及配置</w:t>
            </w:r>
          </w:p>
        </w:tc>
        <w:tc>
          <w:tcPr>
            <w:tcW w:w="709" w:type="dxa"/>
            <w:vAlign w:val="center"/>
          </w:tcPr>
          <w:p w14:paraId="2596EA7A">
            <w:pPr>
              <w:tabs>
                <w:tab w:val="left" w:pos="540"/>
                <w:tab w:val="left" w:pos="1080"/>
              </w:tabs>
              <w:adjustRightInd w:val="0"/>
              <w:snapToGrid w:val="0"/>
              <w:spacing w:line="300" w:lineRule="auto"/>
              <w:jc w:val="center"/>
              <w:rPr>
                <w:rFonts w:hint="eastAsia" w:ascii="宋体" w:hAnsi="宋体"/>
                <w:b/>
                <w:bCs/>
                <w:color w:val="auto"/>
                <w:szCs w:val="21"/>
                <w:highlight w:val="none"/>
              </w:rPr>
            </w:pPr>
            <w:r>
              <w:rPr>
                <w:rFonts w:hint="eastAsia" w:ascii="宋体" w:hAnsi="宋体"/>
                <w:b/>
                <w:bCs/>
                <w:color w:val="auto"/>
                <w:szCs w:val="21"/>
                <w:highlight w:val="none"/>
              </w:rPr>
              <w:t>数量</w:t>
            </w:r>
          </w:p>
        </w:tc>
        <w:tc>
          <w:tcPr>
            <w:tcW w:w="992" w:type="dxa"/>
            <w:vAlign w:val="center"/>
          </w:tcPr>
          <w:p w14:paraId="6A11ABF7">
            <w:pPr>
              <w:tabs>
                <w:tab w:val="left" w:pos="540"/>
                <w:tab w:val="left" w:pos="1080"/>
              </w:tabs>
              <w:adjustRightInd w:val="0"/>
              <w:snapToGrid w:val="0"/>
              <w:spacing w:line="300" w:lineRule="auto"/>
              <w:jc w:val="center"/>
              <w:rPr>
                <w:rFonts w:hint="eastAsia" w:ascii="宋体" w:hAnsi="宋体"/>
                <w:b/>
                <w:bCs/>
                <w:color w:val="auto"/>
                <w:szCs w:val="21"/>
                <w:highlight w:val="none"/>
              </w:rPr>
            </w:pPr>
            <w:r>
              <w:rPr>
                <w:rFonts w:hint="eastAsia" w:ascii="宋体" w:hAnsi="宋体"/>
                <w:b/>
                <w:bCs/>
                <w:color w:val="auto"/>
                <w:szCs w:val="21"/>
                <w:highlight w:val="none"/>
              </w:rPr>
              <w:t>单位</w:t>
            </w:r>
          </w:p>
        </w:tc>
        <w:tc>
          <w:tcPr>
            <w:tcW w:w="1276" w:type="dxa"/>
            <w:vAlign w:val="center"/>
          </w:tcPr>
          <w:p w14:paraId="5E1438D9">
            <w:pPr>
              <w:tabs>
                <w:tab w:val="left" w:pos="540"/>
                <w:tab w:val="left" w:pos="1080"/>
              </w:tabs>
              <w:adjustRightInd w:val="0"/>
              <w:snapToGrid w:val="0"/>
              <w:spacing w:line="300" w:lineRule="auto"/>
              <w:jc w:val="center"/>
              <w:rPr>
                <w:rFonts w:hint="eastAsia" w:ascii="宋体" w:hAnsi="宋体" w:eastAsia="宋体"/>
                <w:b/>
                <w:bCs/>
                <w:color w:val="auto"/>
                <w:szCs w:val="21"/>
                <w:highlight w:val="none"/>
                <w:lang w:eastAsia="zh-CN"/>
              </w:rPr>
            </w:pPr>
            <w:r>
              <w:rPr>
                <w:rFonts w:hint="eastAsia" w:ascii="宋体" w:hAnsi="宋体"/>
                <w:b/>
                <w:bCs/>
                <w:color w:val="auto"/>
                <w:szCs w:val="21"/>
                <w:highlight w:val="none"/>
              </w:rPr>
              <w:t>单价</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元</w:t>
            </w:r>
            <w:r>
              <w:rPr>
                <w:rFonts w:hint="eastAsia" w:ascii="宋体" w:hAnsi="宋体"/>
                <w:b/>
                <w:bCs/>
                <w:color w:val="auto"/>
                <w:szCs w:val="21"/>
                <w:highlight w:val="none"/>
                <w:lang w:eastAsia="zh-CN"/>
              </w:rPr>
              <w:t>）</w:t>
            </w:r>
          </w:p>
        </w:tc>
        <w:tc>
          <w:tcPr>
            <w:tcW w:w="1926" w:type="dxa"/>
            <w:vAlign w:val="center"/>
          </w:tcPr>
          <w:p w14:paraId="1A8A64E0">
            <w:pPr>
              <w:tabs>
                <w:tab w:val="left" w:pos="540"/>
                <w:tab w:val="left" w:pos="1080"/>
              </w:tabs>
              <w:adjustRightInd w:val="0"/>
              <w:snapToGrid w:val="0"/>
              <w:spacing w:line="300" w:lineRule="auto"/>
              <w:jc w:val="center"/>
              <w:rPr>
                <w:rFonts w:hint="eastAsia"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含税</w:t>
            </w:r>
            <w:r>
              <w:rPr>
                <w:rFonts w:hint="eastAsia" w:ascii="宋体" w:hAnsi="宋体"/>
                <w:b/>
                <w:bCs/>
                <w:color w:val="auto"/>
                <w:szCs w:val="21"/>
                <w:highlight w:val="none"/>
              </w:rPr>
              <w:t>总价</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元</w:t>
            </w:r>
            <w:r>
              <w:rPr>
                <w:rFonts w:hint="eastAsia" w:ascii="宋体" w:hAnsi="宋体"/>
                <w:b/>
                <w:bCs/>
                <w:color w:val="auto"/>
                <w:szCs w:val="21"/>
                <w:highlight w:val="none"/>
                <w:lang w:eastAsia="zh-CN"/>
              </w:rPr>
              <w:t>）</w:t>
            </w:r>
          </w:p>
        </w:tc>
      </w:tr>
      <w:tr w14:paraId="3ADA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100493F6">
            <w:pPr>
              <w:tabs>
                <w:tab w:val="left" w:pos="540"/>
                <w:tab w:val="left" w:pos="1080"/>
              </w:tabs>
              <w:adjustRightInd w:val="0"/>
              <w:snapToGrid w:val="0"/>
              <w:spacing w:line="300" w:lineRule="auto"/>
              <w:jc w:val="left"/>
              <w:rPr>
                <w:rFonts w:hint="eastAsia" w:ascii="宋体" w:hAnsi="宋体"/>
                <w:b/>
                <w:bCs/>
                <w:color w:val="auto"/>
                <w:szCs w:val="21"/>
                <w:highlight w:val="none"/>
              </w:rPr>
            </w:pPr>
            <w:r>
              <w:rPr>
                <w:rFonts w:hint="eastAsia" w:ascii="宋体" w:hAnsi="宋体"/>
                <w:b/>
                <w:bCs/>
                <w:color w:val="auto"/>
                <w:szCs w:val="21"/>
                <w:highlight w:val="none"/>
              </w:rPr>
              <w:t>1</w:t>
            </w:r>
          </w:p>
        </w:tc>
        <w:tc>
          <w:tcPr>
            <w:tcW w:w="1307" w:type="dxa"/>
            <w:vAlign w:val="center"/>
          </w:tcPr>
          <w:p w14:paraId="465230AB">
            <w:pPr>
              <w:snapToGrid w:val="0"/>
              <w:spacing w:line="300" w:lineRule="auto"/>
              <w:jc w:val="left"/>
              <w:rPr>
                <w:rFonts w:hint="eastAsia" w:ascii="宋体" w:hAnsi="宋体"/>
                <w:color w:val="auto"/>
                <w:szCs w:val="21"/>
                <w:highlight w:val="none"/>
              </w:rPr>
            </w:pPr>
          </w:p>
        </w:tc>
        <w:tc>
          <w:tcPr>
            <w:tcW w:w="2268" w:type="dxa"/>
            <w:vAlign w:val="bottom"/>
          </w:tcPr>
          <w:p w14:paraId="2FD1F6D1">
            <w:pPr>
              <w:snapToGrid w:val="0"/>
              <w:spacing w:line="300" w:lineRule="auto"/>
              <w:jc w:val="left"/>
              <w:rPr>
                <w:rFonts w:hint="eastAsia" w:ascii="宋体" w:hAnsi="宋体" w:cs="Arial"/>
                <w:color w:val="auto"/>
                <w:szCs w:val="21"/>
                <w:highlight w:val="none"/>
              </w:rPr>
            </w:pPr>
            <w:r>
              <w:rPr>
                <w:rFonts w:hint="eastAsia" w:ascii="宋体" w:hAnsi="宋体" w:cs="Arial"/>
                <w:color w:val="auto"/>
                <w:szCs w:val="21"/>
                <w:highlight w:val="none"/>
              </w:rPr>
              <w:t xml:space="preserve"> </w:t>
            </w:r>
          </w:p>
        </w:tc>
        <w:tc>
          <w:tcPr>
            <w:tcW w:w="709" w:type="dxa"/>
            <w:vAlign w:val="center"/>
          </w:tcPr>
          <w:p w14:paraId="7DB4E617">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992" w:type="dxa"/>
            <w:vAlign w:val="center"/>
          </w:tcPr>
          <w:p w14:paraId="0ADDE9FE">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1276" w:type="dxa"/>
            <w:vAlign w:val="center"/>
          </w:tcPr>
          <w:p w14:paraId="01412F18">
            <w:pPr>
              <w:snapToGrid w:val="0"/>
              <w:spacing w:line="300" w:lineRule="auto"/>
              <w:jc w:val="left"/>
              <w:rPr>
                <w:rFonts w:hint="eastAsia" w:ascii="宋体" w:hAnsi="宋体"/>
                <w:b/>
                <w:bCs/>
                <w:color w:val="auto"/>
                <w:szCs w:val="21"/>
                <w:highlight w:val="none"/>
              </w:rPr>
            </w:pPr>
          </w:p>
        </w:tc>
        <w:tc>
          <w:tcPr>
            <w:tcW w:w="1926" w:type="dxa"/>
            <w:vAlign w:val="center"/>
          </w:tcPr>
          <w:p w14:paraId="4807B406">
            <w:pPr>
              <w:snapToGrid w:val="0"/>
              <w:spacing w:line="300" w:lineRule="auto"/>
              <w:jc w:val="left"/>
              <w:rPr>
                <w:rFonts w:hint="eastAsia" w:ascii="宋体" w:hAnsi="宋体"/>
                <w:b/>
                <w:bCs/>
                <w:color w:val="auto"/>
                <w:szCs w:val="21"/>
                <w:highlight w:val="none"/>
              </w:rPr>
            </w:pPr>
          </w:p>
        </w:tc>
      </w:tr>
      <w:tr w14:paraId="554ED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27AF803C">
            <w:pPr>
              <w:tabs>
                <w:tab w:val="left" w:pos="540"/>
                <w:tab w:val="left" w:pos="1080"/>
              </w:tabs>
              <w:adjustRightInd w:val="0"/>
              <w:snapToGrid w:val="0"/>
              <w:spacing w:line="300" w:lineRule="auto"/>
              <w:jc w:val="left"/>
              <w:rPr>
                <w:rFonts w:hint="eastAsia" w:ascii="宋体" w:hAnsi="宋体"/>
                <w:b/>
                <w:bCs/>
                <w:color w:val="auto"/>
                <w:szCs w:val="21"/>
                <w:highlight w:val="none"/>
              </w:rPr>
            </w:pPr>
            <w:r>
              <w:rPr>
                <w:rFonts w:hint="eastAsia" w:ascii="宋体" w:hAnsi="宋体"/>
                <w:b/>
                <w:bCs/>
                <w:color w:val="auto"/>
                <w:szCs w:val="21"/>
                <w:highlight w:val="none"/>
              </w:rPr>
              <w:t>2</w:t>
            </w:r>
          </w:p>
        </w:tc>
        <w:tc>
          <w:tcPr>
            <w:tcW w:w="1307" w:type="dxa"/>
            <w:vAlign w:val="center"/>
          </w:tcPr>
          <w:p w14:paraId="6191758E">
            <w:pPr>
              <w:snapToGrid w:val="0"/>
              <w:spacing w:line="300" w:lineRule="auto"/>
              <w:jc w:val="left"/>
              <w:rPr>
                <w:rFonts w:hint="eastAsia" w:ascii="宋体" w:hAnsi="宋体"/>
                <w:color w:val="auto"/>
                <w:szCs w:val="21"/>
                <w:highlight w:val="none"/>
              </w:rPr>
            </w:pPr>
          </w:p>
        </w:tc>
        <w:tc>
          <w:tcPr>
            <w:tcW w:w="2268" w:type="dxa"/>
            <w:vAlign w:val="bottom"/>
          </w:tcPr>
          <w:p w14:paraId="63B44ED7">
            <w:pPr>
              <w:snapToGrid w:val="0"/>
              <w:spacing w:line="300" w:lineRule="auto"/>
              <w:jc w:val="left"/>
              <w:rPr>
                <w:rFonts w:hint="eastAsia" w:ascii="宋体" w:hAnsi="宋体" w:cs="Arial"/>
                <w:color w:val="auto"/>
                <w:szCs w:val="21"/>
                <w:highlight w:val="none"/>
              </w:rPr>
            </w:pPr>
          </w:p>
        </w:tc>
        <w:tc>
          <w:tcPr>
            <w:tcW w:w="709" w:type="dxa"/>
            <w:vAlign w:val="center"/>
          </w:tcPr>
          <w:p w14:paraId="073E31AA">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992" w:type="dxa"/>
            <w:vAlign w:val="center"/>
          </w:tcPr>
          <w:p w14:paraId="77D83F2D">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1276" w:type="dxa"/>
            <w:vAlign w:val="center"/>
          </w:tcPr>
          <w:p w14:paraId="74D91174">
            <w:pPr>
              <w:snapToGrid w:val="0"/>
              <w:spacing w:line="300" w:lineRule="auto"/>
              <w:jc w:val="left"/>
              <w:rPr>
                <w:rFonts w:hint="eastAsia" w:ascii="宋体" w:hAnsi="宋体"/>
                <w:b/>
                <w:bCs/>
                <w:color w:val="auto"/>
                <w:szCs w:val="21"/>
                <w:highlight w:val="none"/>
              </w:rPr>
            </w:pPr>
          </w:p>
        </w:tc>
        <w:tc>
          <w:tcPr>
            <w:tcW w:w="1926" w:type="dxa"/>
            <w:vAlign w:val="center"/>
          </w:tcPr>
          <w:p w14:paraId="70B13801">
            <w:pPr>
              <w:snapToGrid w:val="0"/>
              <w:spacing w:line="300" w:lineRule="auto"/>
              <w:jc w:val="left"/>
              <w:rPr>
                <w:rFonts w:hint="eastAsia" w:ascii="宋体" w:hAnsi="宋体"/>
                <w:b/>
                <w:bCs/>
                <w:color w:val="auto"/>
                <w:szCs w:val="21"/>
                <w:highlight w:val="none"/>
              </w:rPr>
            </w:pPr>
          </w:p>
        </w:tc>
      </w:tr>
      <w:tr w14:paraId="1D05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786" w:type="dxa"/>
            <w:vAlign w:val="center"/>
          </w:tcPr>
          <w:p w14:paraId="2B9E43E2">
            <w:pPr>
              <w:tabs>
                <w:tab w:val="left" w:pos="540"/>
                <w:tab w:val="left" w:pos="1080"/>
              </w:tabs>
              <w:adjustRightInd w:val="0"/>
              <w:snapToGrid w:val="0"/>
              <w:spacing w:line="300" w:lineRule="auto"/>
              <w:jc w:val="left"/>
              <w:rPr>
                <w:rFonts w:hint="eastAsia" w:ascii="宋体" w:hAnsi="宋体"/>
                <w:b/>
                <w:bCs/>
                <w:color w:val="auto"/>
                <w:szCs w:val="21"/>
                <w:highlight w:val="none"/>
              </w:rPr>
            </w:pPr>
            <w:r>
              <w:rPr>
                <w:rFonts w:hint="eastAsia" w:ascii="宋体" w:hAnsi="宋体"/>
                <w:b/>
                <w:bCs/>
                <w:color w:val="auto"/>
                <w:szCs w:val="21"/>
                <w:highlight w:val="none"/>
              </w:rPr>
              <w:t>3</w:t>
            </w:r>
          </w:p>
        </w:tc>
        <w:tc>
          <w:tcPr>
            <w:tcW w:w="1307" w:type="dxa"/>
            <w:vAlign w:val="center"/>
          </w:tcPr>
          <w:p w14:paraId="74C54DA8">
            <w:pPr>
              <w:snapToGrid w:val="0"/>
              <w:spacing w:line="300" w:lineRule="auto"/>
              <w:jc w:val="left"/>
              <w:rPr>
                <w:rFonts w:hint="eastAsia" w:ascii="宋体" w:hAnsi="宋体"/>
                <w:color w:val="auto"/>
                <w:szCs w:val="21"/>
                <w:highlight w:val="none"/>
              </w:rPr>
            </w:pPr>
          </w:p>
        </w:tc>
        <w:tc>
          <w:tcPr>
            <w:tcW w:w="2268" w:type="dxa"/>
            <w:vAlign w:val="bottom"/>
          </w:tcPr>
          <w:p w14:paraId="71D81876">
            <w:pPr>
              <w:snapToGrid w:val="0"/>
              <w:spacing w:line="300" w:lineRule="auto"/>
              <w:jc w:val="left"/>
              <w:rPr>
                <w:rFonts w:hint="eastAsia" w:ascii="宋体" w:hAnsi="宋体"/>
                <w:color w:val="auto"/>
                <w:szCs w:val="21"/>
                <w:highlight w:val="none"/>
              </w:rPr>
            </w:pPr>
          </w:p>
        </w:tc>
        <w:tc>
          <w:tcPr>
            <w:tcW w:w="709" w:type="dxa"/>
            <w:vAlign w:val="center"/>
          </w:tcPr>
          <w:p w14:paraId="0C089333">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992" w:type="dxa"/>
            <w:vAlign w:val="center"/>
          </w:tcPr>
          <w:p w14:paraId="399205A5">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1276" w:type="dxa"/>
            <w:vAlign w:val="center"/>
          </w:tcPr>
          <w:p w14:paraId="38DAAA80">
            <w:pPr>
              <w:snapToGrid w:val="0"/>
              <w:spacing w:line="300" w:lineRule="auto"/>
              <w:jc w:val="left"/>
              <w:rPr>
                <w:rFonts w:hint="eastAsia" w:ascii="宋体" w:hAnsi="宋体"/>
                <w:b/>
                <w:bCs/>
                <w:color w:val="auto"/>
                <w:szCs w:val="21"/>
                <w:highlight w:val="none"/>
              </w:rPr>
            </w:pPr>
          </w:p>
        </w:tc>
        <w:tc>
          <w:tcPr>
            <w:tcW w:w="1926" w:type="dxa"/>
            <w:vAlign w:val="center"/>
          </w:tcPr>
          <w:p w14:paraId="0CD928CE">
            <w:pPr>
              <w:snapToGrid w:val="0"/>
              <w:spacing w:line="300" w:lineRule="auto"/>
              <w:jc w:val="left"/>
              <w:rPr>
                <w:rFonts w:hint="eastAsia" w:ascii="宋体" w:hAnsi="宋体"/>
                <w:b/>
                <w:bCs/>
                <w:color w:val="auto"/>
                <w:szCs w:val="21"/>
                <w:highlight w:val="none"/>
              </w:rPr>
            </w:pPr>
          </w:p>
        </w:tc>
      </w:tr>
      <w:tr w14:paraId="3CBE6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86" w:type="dxa"/>
            <w:vAlign w:val="center"/>
          </w:tcPr>
          <w:p w14:paraId="3D11139C">
            <w:pPr>
              <w:tabs>
                <w:tab w:val="left" w:pos="540"/>
                <w:tab w:val="left" w:pos="1080"/>
              </w:tabs>
              <w:adjustRightInd w:val="0"/>
              <w:snapToGrid w:val="0"/>
              <w:spacing w:line="300" w:lineRule="auto"/>
              <w:jc w:val="left"/>
              <w:rPr>
                <w:rFonts w:hint="eastAsia" w:ascii="宋体" w:hAnsi="宋体"/>
                <w:b/>
                <w:bCs/>
                <w:color w:val="auto"/>
                <w:szCs w:val="21"/>
                <w:highlight w:val="none"/>
              </w:rPr>
            </w:pPr>
            <w:r>
              <w:rPr>
                <w:rFonts w:ascii="宋体" w:hAnsi="宋体"/>
                <w:b/>
                <w:bCs/>
                <w:color w:val="auto"/>
                <w:szCs w:val="21"/>
                <w:highlight w:val="none"/>
              </w:rPr>
              <w:t>…</w:t>
            </w:r>
          </w:p>
        </w:tc>
        <w:tc>
          <w:tcPr>
            <w:tcW w:w="1307" w:type="dxa"/>
            <w:vAlign w:val="center"/>
          </w:tcPr>
          <w:p w14:paraId="20C67A1C">
            <w:pPr>
              <w:snapToGrid w:val="0"/>
              <w:spacing w:line="300" w:lineRule="auto"/>
              <w:jc w:val="left"/>
              <w:rPr>
                <w:rFonts w:hint="eastAsia" w:ascii="宋体" w:hAnsi="宋体"/>
                <w:color w:val="auto"/>
                <w:szCs w:val="21"/>
                <w:highlight w:val="none"/>
              </w:rPr>
            </w:pPr>
          </w:p>
        </w:tc>
        <w:tc>
          <w:tcPr>
            <w:tcW w:w="2268" w:type="dxa"/>
            <w:vAlign w:val="center"/>
          </w:tcPr>
          <w:p w14:paraId="08E5A323">
            <w:pPr>
              <w:snapToGrid w:val="0"/>
              <w:spacing w:line="300" w:lineRule="auto"/>
              <w:jc w:val="left"/>
              <w:rPr>
                <w:rFonts w:hint="eastAsia" w:ascii="宋体" w:hAnsi="宋体"/>
                <w:color w:val="auto"/>
                <w:szCs w:val="21"/>
                <w:highlight w:val="none"/>
              </w:rPr>
            </w:pPr>
          </w:p>
        </w:tc>
        <w:tc>
          <w:tcPr>
            <w:tcW w:w="709" w:type="dxa"/>
            <w:vAlign w:val="center"/>
          </w:tcPr>
          <w:p w14:paraId="50ED2DF8">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992" w:type="dxa"/>
            <w:vAlign w:val="center"/>
          </w:tcPr>
          <w:p w14:paraId="4ACB757D">
            <w:pPr>
              <w:tabs>
                <w:tab w:val="left" w:pos="540"/>
                <w:tab w:val="left" w:pos="1080"/>
              </w:tabs>
              <w:adjustRightInd w:val="0"/>
              <w:snapToGrid w:val="0"/>
              <w:spacing w:line="300" w:lineRule="auto"/>
              <w:ind w:firstLine="316" w:firstLineChars="150"/>
              <w:jc w:val="left"/>
              <w:rPr>
                <w:rFonts w:hint="eastAsia" w:ascii="宋体" w:hAnsi="宋体"/>
                <w:b/>
                <w:bCs/>
                <w:color w:val="auto"/>
                <w:szCs w:val="21"/>
                <w:highlight w:val="none"/>
              </w:rPr>
            </w:pPr>
          </w:p>
        </w:tc>
        <w:tc>
          <w:tcPr>
            <w:tcW w:w="1276" w:type="dxa"/>
            <w:vAlign w:val="center"/>
          </w:tcPr>
          <w:p w14:paraId="73BD1F41">
            <w:pPr>
              <w:snapToGrid w:val="0"/>
              <w:spacing w:line="300" w:lineRule="auto"/>
              <w:jc w:val="left"/>
              <w:rPr>
                <w:rFonts w:hint="eastAsia" w:ascii="宋体" w:hAnsi="宋体"/>
                <w:b/>
                <w:bCs/>
                <w:color w:val="auto"/>
                <w:szCs w:val="21"/>
                <w:highlight w:val="none"/>
              </w:rPr>
            </w:pPr>
          </w:p>
        </w:tc>
        <w:tc>
          <w:tcPr>
            <w:tcW w:w="1926" w:type="dxa"/>
            <w:vAlign w:val="center"/>
          </w:tcPr>
          <w:p w14:paraId="6CD9E51A">
            <w:pPr>
              <w:snapToGrid w:val="0"/>
              <w:spacing w:line="300" w:lineRule="auto"/>
              <w:jc w:val="left"/>
              <w:rPr>
                <w:rFonts w:hint="eastAsia" w:ascii="宋体" w:hAnsi="宋体"/>
                <w:b/>
                <w:bCs/>
                <w:color w:val="auto"/>
                <w:szCs w:val="21"/>
                <w:highlight w:val="none"/>
              </w:rPr>
            </w:pPr>
          </w:p>
        </w:tc>
      </w:tr>
      <w:tr w14:paraId="4C422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7338" w:type="dxa"/>
            <w:gridSpan w:val="6"/>
            <w:vAlign w:val="center"/>
          </w:tcPr>
          <w:p w14:paraId="01177875">
            <w:pPr>
              <w:snapToGrid w:val="0"/>
              <w:spacing w:line="300" w:lineRule="auto"/>
              <w:jc w:val="left"/>
              <w:rPr>
                <w:rFonts w:hint="eastAsia" w:ascii="宋体" w:hAnsi="宋体"/>
                <w:b/>
                <w:bCs/>
                <w:color w:val="auto"/>
                <w:szCs w:val="21"/>
                <w:highlight w:val="none"/>
              </w:rPr>
            </w:pPr>
            <w:r>
              <w:rPr>
                <w:rFonts w:hint="eastAsia" w:ascii="宋体" w:hAnsi="宋体"/>
                <w:b/>
                <w:bCs/>
                <w:color w:val="auto"/>
                <w:szCs w:val="21"/>
                <w:highlight w:val="none"/>
                <w:lang w:val="en-US" w:eastAsia="zh-CN"/>
              </w:rPr>
              <w:t>含税</w:t>
            </w:r>
            <w:r>
              <w:rPr>
                <w:rFonts w:hint="eastAsia" w:ascii="宋体" w:hAnsi="宋体"/>
                <w:b/>
                <w:bCs/>
                <w:color w:val="auto"/>
                <w:szCs w:val="21"/>
                <w:highlight w:val="none"/>
              </w:rPr>
              <w:t>合计:</w:t>
            </w:r>
            <w:r>
              <w:rPr>
                <w:rFonts w:hint="eastAsia"/>
                <w:b/>
                <w:bCs/>
                <w:color w:val="auto"/>
                <w:szCs w:val="21"/>
                <w:highlight w:val="none"/>
              </w:rPr>
              <w:t>￥</w:t>
            </w:r>
          </w:p>
        </w:tc>
        <w:tc>
          <w:tcPr>
            <w:tcW w:w="1926" w:type="dxa"/>
            <w:vAlign w:val="center"/>
          </w:tcPr>
          <w:p w14:paraId="698B59D7">
            <w:pPr>
              <w:snapToGrid w:val="0"/>
              <w:spacing w:line="300" w:lineRule="auto"/>
              <w:jc w:val="left"/>
              <w:rPr>
                <w:rFonts w:hint="eastAsia" w:ascii="宋体" w:hAnsi="宋体"/>
                <w:b/>
                <w:bCs/>
                <w:color w:val="auto"/>
                <w:szCs w:val="21"/>
                <w:highlight w:val="none"/>
              </w:rPr>
            </w:pPr>
          </w:p>
        </w:tc>
      </w:tr>
      <w:tr w14:paraId="5EEF4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9264" w:type="dxa"/>
            <w:gridSpan w:val="7"/>
            <w:vAlign w:val="center"/>
          </w:tcPr>
          <w:p w14:paraId="406B21E2">
            <w:pPr>
              <w:snapToGrid w:val="0"/>
              <w:spacing w:line="300" w:lineRule="auto"/>
              <w:rPr>
                <w:rFonts w:hint="eastAsia" w:ascii="宋体" w:hAnsi="宋体"/>
                <w:b/>
                <w:bCs/>
                <w:color w:val="auto"/>
                <w:szCs w:val="21"/>
                <w:highlight w:val="none"/>
              </w:rPr>
            </w:pPr>
            <w:r>
              <w:rPr>
                <w:rFonts w:hint="eastAsia" w:ascii="宋体" w:hAnsi="宋体"/>
                <w:b/>
                <w:bCs/>
                <w:color w:val="auto"/>
                <w:szCs w:val="21"/>
                <w:highlight w:val="none"/>
              </w:rPr>
              <w:t>人民币（大写）：</w:t>
            </w:r>
            <w:r>
              <w:rPr>
                <w:rFonts w:hint="eastAsia" w:ascii="宋体" w:hAnsi="宋体"/>
                <w:color w:val="auto"/>
                <w:szCs w:val="21"/>
                <w:highlight w:val="none"/>
                <w:u w:val="single"/>
              </w:rPr>
              <w:t xml:space="preserve">           </w:t>
            </w:r>
          </w:p>
        </w:tc>
      </w:tr>
      <w:tr w14:paraId="40F60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9264" w:type="dxa"/>
            <w:gridSpan w:val="7"/>
            <w:vAlign w:val="center"/>
          </w:tcPr>
          <w:p w14:paraId="20CE0793">
            <w:pPr>
              <w:snapToGrid w:val="0"/>
              <w:spacing w:line="300" w:lineRule="auto"/>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以上价格含税XX%，不含税金额XX元，税额XX元。</w:t>
            </w:r>
          </w:p>
        </w:tc>
      </w:tr>
    </w:tbl>
    <w:p w14:paraId="20E0102F">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技术规范详细要求见招标文件。</w:t>
      </w:r>
    </w:p>
    <w:p w14:paraId="3DD35537">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3、乙方的所有供货及服务必须使安装后的货物完全满足用户需求书的要求。</w:t>
      </w:r>
    </w:p>
    <w:p w14:paraId="35297378">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4、乙方为甲方设计制造并提供货物所需的其他辅助货物及材料。</w:t>
      </w:r>
    </w:p>
    <w:p w14:paraId="7CCE1320">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5、双方同意附件中各项条款为合同不可分割的部分，若附件与合同正文有任何不一致，以合同正文为准。</w:t>
      </w:r>
    </w:p>
    <w:p w14:paraId="71A97414">
      <w:pPr>
        <w:autoSpaceDE w:val="0"/>
        <w:autoSpaceDN w:val="0"/>
        <w:adjustRightInd w:val="0"/>
        <w:snapToGrid w:val="0"/>
        <w:spacing w:line="360" w:lineRule="auto"/>
        <w:jc w:val="left"/>
        <w:rPr>
          <w:rFonts w:hint="eastAsia" w:ascii="宋体" w:hAnsi="宋体" w:cs="宋体"/>
          <w:color w:val="auto"/>
          <w:kern w:val="0"/>
          <w:szCs w:val="21"/>
          <w:highlight w:val="none"/>
        </w:rPr>
      </w:pPr>
    </w:p>
    <w:p w14:paraId="0F09BD2E">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第二条 合同价格</w:t>
      </w:r>
    </w:p>
    <w:p w14:paraId="3B521255">
      <w:pPr>
        <w:shd w:val="clear" w:color="auto" w:fill="FFFFFF"/>
        <w:snapToGrid w:val="0"/>
        <w:spacing w:line="360" w:lineRule="auto"/>
        <w:ind w:left="840"/>
        <w:jc w:val="left"/>
        <w:rPr>
          <w:rFonts w:hint="eastAsia" w:ascii="宋体" w:hAnsi="宋体" w:cs="宋体"/>
          <w:color w:val="auto"/>
          <w:szCs w:val="21"/>
          <w:highlight w:val="none"/>
        </w:rPr>
      </w:pPr>
      <w:r>
        <w:rPr>
          <w:rFonts w:hint="eastAsia" w:ascii="宋体" w:hAnsi="宋体" w:cs="宋体"/>
          <w:color w:val="auto"/>
          <w:szCs w:val="21"/>
          <w:highlight w:val="none"/>
        </w:rPr>
        <w:t>本合同含税总价为大写：人民币</w:t>
      </w:r>
      <w:r>
        <w:rPr>
          <w:rFonts w:ascii="宋体" w:hAnsi="宋体" w:cs="宋体"/>
          <w:b/>
          <w:color w:val="auto"/>
          <w:szCs w:val="21"/>
          <w:highlight w:val="none"/>
          <w:u w:val="single"/>
        </w:rPr>
        <w:t xml:space="preserve">       </w:t>
      </w:r>
      <w:r>
        <w:rPr>
          <w:rFonts w:hint="eastAsia" w:ascii="宋体" w:hAnsi="宋体" w:cs="宋体"/>
          <w:color w:val="auto"/>
          <w:szCs w:val="21"/>
          <w:highlight w:val="none"/>
        </w:rPr>
        <w:t>大写：人民币</w:t>
      </w:r>
      <w:r>
        <w:rPr>
          <w:rFonts w:ascii="宋体" w:hAnsi="宋体" w:cs="宋体"/>
          <w:bCs/>
          <w:color w:val="auto"/>
          <w:szCs w:val="21"/>
          <w:highlight w:val="none"/>
          <w:u w:val="single"/>
        </w:rPr>
        <w:t xml:space="preserve">     </w:t>
      </w:r>
      <w:r>
        <w:rPr>
          <w:rFonts w:hint="eastAsia" w:ascii="宋体" w:hAnsi="宋体" w:cs="宋体"/>
          <w:bCs/>
          <w:color w:val="auto"/>
          <w:szCs w:val="21"/>
          <w:highlight w:val="none"/>
          <w:u w:val="single"/>
        </w:rPr>
        <w:t xml:space="preserve">                 </w:t>
      </w:r>
      <w:r>
        <w:rPr>
          <w:rFonts w:ascii="宋体" w:hAnsi="宋体" w:cs="宋体"/>
          <w:bCs/>
          <w:color w:val="auto"/>
          <w:szCs w:val="21"/>
          <w:highlight w:val="none"/>
          <w:u w:val="single"/>
        </w:rPr>
        <w:t xml:space="preserve"> </w:t>
      </w:r>
      <w:r>
        <w:rPr>
          <w:rFonts w:hint="eastAsia" w:ascii="宋体" w:hAnsi="宋体" w:cs="宋体"/>
          <w:bCs/>
          <w:color w:val="auto"/>
          <w:szCs w:val="21"/>
          <w:highlight w:val="none"/>
        </w:rPr>
        <w:t>，</w:t>
      </w:r>
      <w:r>
        <w:rPr>
          <w:rFonts w:hint="eastAsia" w:ascii="宋体" w:hAnsi="宋体" w:cs="宋体"/>
          <w:color w:val="auto"/>
          <w:szCs w:val="21"/>
          <w:highlight w:val="none"/>
        </w:rPr>
        <w:t>（</w:t>
      </w:r>
      <w:r>
        <w:rPr>
          <w:rFonts w:ascii="宋体" w:hAnsi="宋体" w:cs="宋体"/>
          <w:b/>
          <w:color w:val="auto"/>
          <w:szCs w:val="21"/>
          <w:highlight w:val="none"/>
          <w:u w:val="single"/>
        </w:rPr>
        <w:t xml:space="preserve">   </w:t>
      </w:r>
      <w:r>
        <w:rPr>
          <w:rFonts w:hint="eastAsia" w:ascii="宋体" w:hAnsi="宋体" w:cs="宋体"/>
          <w:b/>
          <w:color w:val="auto"/>
          <w:szCs w:val="21"/>
          <w:highlight w:val="none"/>
          <w:u w:val="single"/>
        </w:rPr>
        <w:t xml:space="preserve">  </w:t>
      </w:r>
      <w:r>
        <w:rPr>
          <w:rFonts w:ascii="宋体" w:hAnsi="宋体" w:cs="宋体"/>
          <w:b/>
          <w:color w:val="auto"/>
          <w:szCs w:val="21"/>
          <w:highlight w:val="none"/>
          <w:u w:val="single"/>
        </w:rPr>
        <w:t xml:space="preserve">    </w:t>
      </w:r>
      <w:r>
        <w:rPr>
          <w:rFonts w:hint="eastAsia" w:ascii="宋体" w:hAnsi="宋体" w:cs="宋体"/>
          <w:bCs/>
          <w:color w:val="auto"/>
          <w:szCs w:val="21"/>
          <w:highlight w:val="none"/>
          <w:u w:val="single"/>
        </w:rPr>
        <w:t>元</w:t>
      </w:r>
      <w:r>
        <w:rPr>
          <w:rFonts w:ascii="宋体" w:hAnsi="宋体" w:cs="宋体"/>
          <w:bCs/>
          <w:color w:val="auto"/>
          <w:szCs w:val="21"/>
          <w:highlight w:val="none"/>
          <w:u w:val="single"/>
        </w:rPr>
        <w:t xml:space="preserve"> </w:t>
      </w:r>
      <w:r>
        <w:rPr>
          <w:rFonts w:hint="eastAsia" w:ascii="宋体" w:hAnsi="宋体" w:cs="宋体"/>
          <w:color w:val="auto"/>
          <w:szCs w:val="21"/>
          <w:highlight w:val="none"/>
        </w:rPr>
        <w:t>）。详见合同附件。</w:t>
      </w:r>
    </w:p>
    <w:p w14:paraId="422E5F7D">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第三条 付款方式</w:t>
      </w:r>
    </w:p>
    <w:p w14:paraId="5CF82E06">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Theme="minorEastAsia" w:hAnsiTheme="minorEastAsia" w:eastAsiaTheme="minorEastAsia" w:cstheme="minorEastAsia"/>
          <w:b w:val="0"/>
          <w:bCs w:val="0"/>
          <w:color w:val="auto"/>
          <w:sz w:val="21"/>
          <w:szCs w:val="21"/>
          <w:highlight w:val="none"/>
          <w:lang w:val="en-US" w:eastAsia="zh-CN"/>
        </w:rPr>
      </w:pPr>
      <w:r>
        <w:rPr>
          <w:rFonts w:hint="eastAsia" w:asciiTheme="minorEastAsia" w:hAnsiTheme="minorEastAsia" w:eastAsiaTheme="minorEastAsia" w:cstheme="minorEastAsia"/>
          <w:b w:val="0"/>
          <w:bCs w:val="0"/>
          <w:color w:val="auto"/>
          <w:sz w:val="21"/>
          <w:szCs w:val="21"/>
          <w:highlight w:val="none"/>
        </w:rPr>
        <w:t>合同签订后,</w:t>
      </w:r>
      <w:r>
        <w:rPr>
          <w:rFonts w:hint="eastAsia" w:asciiTheme="minorEastAsia" w:hAnsiTheme="minorEastAsia" w:eastAsiaTheme="minorEastAsia" w:cstheme="minorEastAsia"/>
          <w:b w:val="0"/>
          <w:bCs w:val="0"/>
          <w:color w:val="auto"/>
          <w:sz w:val="21"/>
          <w:szCs w:val="21"/>
          <w:highlight w:val="none"/>
          <w:lang w:val="en-US" w:eastAsia="zh-CN"/>
        </w:rPr>
        <w:t>甲</w:t>
      </w:r>
      <w:r>
        <w:rPr>
          <w:rFonts w:hint="eastAsia" w:asciiTheme="minorEastAsia" w:hAnsiTheme="minorEastAsia" w:eastAsiaTheme="minorEastAsia" w:cstheme="minorEastAsia"/>
          <w:b w:val="0"/>
          <w:bCs w:val="0"/>
          <w:color w:val="auto"/>
          <w:sz w:val="21"/>
          <w:szCs w:val="21"/>
          <w:highlight w:val="none"/>
        </w:rPr>
        <w:t>方在</w:t>
      </w:r>
      <w:r>
        <w:rPr>
          <w:rFonts w:hint="eastAsia" w:asciiTheme="minorEastAsia" w:hAnsiTheme="minorEastAsia" w:eastAsiaTheme="minorEastAsia" w:cstheme="minorEastAsia"/>
          <w:b w:val="0"/>
          <w:bCs w:val="0"/>
          <w:color w:val="auto"/>
          <w:sz w:val="21"/>
          <w:szCs w:val="21"/>
          <w:highlight w:val="none"/>
          <w:lang w:val="en-US" w:eastAsia="zh-CN"/>
        </w:rPr>
        <w:t>5个工作</w:t>
      </w:r>
      <w:r>
        <w:rPr>
          <w:rFonts w:hint="eastAsia" w:asciiTheme="minorEastAsia" w:hAnsiTheme="minorEastAsia" w:eastAsiaTheme="minorEastAsia" w:cstheme="minorEastAsia"/>
          <w:b w:val="0"/>
          <w:bCs w:val="0"/>
          <w:color w:val="auto"/>
          <w:sz w:val="21"/>
          <w:szCs w:val="21"/>
          <w:highlight w:val="none"/>
        </w:rPr>
        <w:t>日内</w:t>
      </w:r>
      <w:r>
        <w:rPr>
          <w:rFonts w:hint="eastAsia" w:asciiTheme="minorEastAsia" w:hAnsiTheme="minorEastAsia" w:eastAsiaTheme="minorEastAsia" w:cstheme="minorEastAsia"/>
          <w:b w:val="0"/>
          <w:bCs w:val="0"/>
          <w:color w:val="auto"/>
          <w:sz w:val="21"/>
          <w:szCs w:val="21"/>
          <w:highlight w:val="none"/>
          <w:lang w:val="en-US" w:eastAsia="zh-CN"/>
        </w:rPr>
        <w:t>向乙方转账</w:t>
      </w:r>
      <w:r>
        <w:rPr>
          <w:rFonts w:hint="eastAsia" w:asciiTheme="minorEastAsia" w:hAnsiTheme="minorEastAsia" w:eastAsiaTheme="minorEastAsia" w:cstheme="minorEastAsia"/>
          <w:b w:val="0"/>
          <w:bCs w:val="0"/>
          <w:color w:val="auto"/>
          <w:sz w:val="21"/>
          <w:szCs w:val="21"/>
          <w:highlight w:val="none"/>
        </w:rPr>
        <w:t>支付30%</w:t>
      </w:r>
      <w:r>
        <w:rPr>
          <w:rFonts w:hint="eastAsia" w:asciiTheme="minorEastAsia" w:hAnsiTheme="minorEastAsia" w:eastAsiaTheme="minorEastAsia" w:cstheme="minorEastAsia"/>
          <w:b w:val="0"/>
          <w:bCs w:val="0"/>
          <w:color w:val="auto"/>
          <w:sz w:val="21"/>
          <w:szCs w:val="21"/>
          <w:highlight w:val="none"/>
          <w:lang w:val="en-US" w:eastAsia="zh-CN"/>
        </w:rPr>
        <w:t>合同</w:t>
      </w:r>
      <w:r>
        <w:rPr>
          <w:rFonts w:hint="eastAsia" w:asciiTheme="minorEastAsia" w:hAnsiTheme="minorEastAsia" w:eastAsiaTheme="minorEastAsia" w:cstheme="minorEastAsia"/>
          <w:b w:val="0"/>
          <w:bCs w:val="0"/>
          <w:color w:val="auto"/>
          <w:sz w:val="21"/>
          <w:szCs w:val="21"/>
          <w:highlight w:val="none"/>
        </w:rPr>
        <w:t>款作为定金，即</w:t>
      </w:r>
      <w:r>
        <w:rPr>
          <w:rFonts w:hint="eastAsia" w:asciiTheme="minorEastAsia" w:hAnsiTheme="minorEastAsia" w:eastAsiaTheme="minorEastAsia" w:cstheme="minorEastAsia"/>
          <w:b w:val="0"/>
          <w:bCs w:val="0"/>
          <w:color w:val="auto"/>
          <w:sz w:val="21"/>
          <w:szCs w:val="21"/>
          <w:highlight w:val="none"/>
          <w:u w:val="single"/>
        </w:rPr>
        <w:t xml:space="preserve">       </w:t>
      </w:r>
      <w:r>
        <w:rPr>
          <w:rFonts w:hint="eastAsia" w:asciiTheme="minorEastAsia" w:hAnsiTheme="minorEastAsia" w:eastAsiaTheme="minorEastAsia" w:cstheme="minorEastAsia"/>
          <w:b w:val="0"/>
          <w:bCs w:val="0"/>
          <w:color w:val="auto"/>
          <w:sz w:val="21"/>
          <w:szCs w:val="21"/>
          <w:highlight w:val="none"/>
        </w:rPr>
        <w:t>元人民币</w:t>
      </w:r>
      <w:r>
        <w:rPr>
          <w:rFonts w:hint="eastAsia" w:asciiTheme="minorEastAsia" w:hAnsiTheme="minorEastAsia" w:eastAsiaTheme="minorEastAsia" w:cstheme="minorEastAsia"/>
          <w:b w:val="0"/>
          <w:bCs w:val="0"/>
          <w:color w:val="auto"/>
          <w:sz w:val="21"/>
          <w:szCs w:val="21"/>
          <w:highlight w:val="none"/>
          <w:lang w:eastAsia="zh-CN"/>
        </w:rPr>
        <w:t>（</w:t>
      </w:r>
      <w:r>
        <w:rPr>
          <w:rFonts w:hint="eastAsia" w:asciiTheme="minorEastAsia" w:hAnsiTheme="minorEastAsia" w:eastAsiaTheme="minorEastAsia" w:cstheme="minorEastAsia"/>
          <w:b w:val="0"/>
          <w:bCs w:val="0"/>
          <w:color w:val="auto"/>
          <w:sz w:val="21"/>
          <w:szCs w:val="21"/>
          <w:highlight w:val="none"/>
          <w:lang w:val="en-US" w:eastAsia="zh-CN"/>
        </w:rPr>
        <w:t>大写：</w:t>
      </w:r>
      <w:r>
        <w:rPr>
          <w:rFonts w:hint="eastAsia" w:asciiTheme="minorEastAsia" w:hAnsiTheme="minorEastAsia" w:eastAsiaTheme="minorEastAsia" w:cstheme="minorEastAsia"/>
          <w:b w:val="0"/>
          <w:bCs w:val="0"/>
          <w:color w:val="auto"/>
          <w:sz w:val="21"/>
          <w:szCs w:val="21"/>
          <w:highlight w:val="none"/>
          <w:lang w:eastAsia="zh-CN"/>
        </w:rPr>
        <w:t>）；</w:t>
      </w:r>
      <w:r>
        <w:rPr>
          <w:rFonts w:hint="eastAsia" w:asciiTheme="minorEastAsia" w:hAnsiTheme="minorEastAsia" w:eastAsiaTheme="minorEastAsia" w:cstheme="minorEastAsia"/>
          <w:b w:val="0"/>
          <w:bCs w:val="0"/>
          <w:color w:val="auto"/>
          <w:sz w:val="21"/>
          <w:szCs w:val="21"/>
          <w:highlight w:val="none"/>
          <w:lang w:val="en-US" w:eastAsia="zh-CN"/>
        </w:rPr>
        <w:t>乙方完成送货安装并经双方验收合格后，甲方凭乙方开出的全额发票在10个工作日内向乙方转账支付60%合同款（含安全保证金），即</w:t>
      </w:r>
      <w:r>
        <w:rPr>
          <w:rFonts w:hint="eastAsia" w:asciiTheme="minorEastAsia" w:hAnsiTheme="minorEastAsia" w:eastAsiaTheme="minorEastAsia" w:cstheme="minorEastAsia"/>
          <w:b w:val="0"/>
          <w:bCs w:val="0"/>
          <w:color w:val="auto"/>
          <w:sz w:val="21"/>
          <w:szCs w:val="21"/>
          <w:highlight w:val="none"/>
          <w:u w:val="single"/>
        </w:rPr>
        <w:t xml:space="preserve">       </w:t>
      </w:r>
      <w:r>
        <w:rPr>
          <w:rFonts w:hint="eastAsia" w:asciiTheme="minorEastAsia" w:hAnsiTheme="minorEastAsia" w:eastAsiaTheme="minorEastAsia" w:cstheme="minorEastAsia"/>
          <w:b w:val="0"/>
          <w:bCs w:val="0"/>
          <w:color w:val="auto"/>
          <w:sz w:val="21"/>
          <w:szCs w:val="21"/>
          <w:highlight w:val="none"/>
        </w:rPr>
        <w:t>元人民币</w:t>
      </w:r>
      <w:r>
        <w:rPr>
          <w:rFonts w:hint="eastAsia" w:asciiTheme="minorEastAsia" w:hAnsiTheme="minorEastAsia" w:eastAsiaTheme="minorEastAsia" w:cstheme="minorEastAsia"/>
          <w:b w:val="0"/>
          <w:bCs w:val="0"/>
          <w:color w:val="auto"/>
          <w:sz w:val="21"/>
          <w:szCs w:val="21"/>
          <w:highlight w:val="none"/>
          <w:lang w:eastAsia="zh-CN"/>
        </w:rPr>
        <w:t>（</w:t>
      </w:r>
      <w:r>
        <w:rPr>
          <w:rFonts w:hint="eastAsia" w:asciiTheme="minorEastAsia" w:hAnsiTheme="minorEastAsia" w:eastAsiaTheme="minorEastAsia" w:cstheme="minorEastAsia"/>
          <w:b w:val="0"/>
          <w:bCs w:val="0"/>
          <w:color w:val="auto"/>
          <w:sz w:val="21"/>
          <w:szCs w:val="21"/>
          <w:highlight w:val="none"/>
          <w:lang w:val="en-US" w:eastAsia="zh-CN"/>
        </w:rPr>
        <w:t>大写：</w:t>
      </w:r>
      <w:r>
        <w:rPr>
          <w:rFonts w:hint="eastAsia" w:asciiTheme="minorEastAsia" w:hAnsiTheme="minorEastAsia" w:eastAsiaTheme="minorEastAsia" w:cstheme="minorEastAsia"/>
          <w:b w:val="0"/>
          <w:bCs w:val="0"/>
          <w:color w:val="auto"/>
          <w:sz w:val="21"/>
          <w:szCs w:val="21"/>
          <w:highlight w:val="none"/>
          <w:lang w:eastAsia="zh-CN"/>
        </w:rPr>
        <w:t>）；</w:t>
      </w:r>
      <w:r>
        <w:rPr>
          <w:rFonts w:hint="eastAsia" w:asciiTheme="minorEastAsia" w:hAnsiTheme="minorEastAsia" w:eastAsiaTheme="minorEastAsia" w:cstheme="minorEastAsia"/>
          <w:b w:val="0"/>
          <w:bCs w:val="0"/>
          <w:color w:val="auto"/>
          <w:sz w:val="21"/>
          <w:szCs w:val="21"/>
          <w:highlight w:val="none"/>
          <w:lang w:val="en-US" w:eastAsia="zh-CN"/>
        </w:rPr>
        <w:t>剩余10%合同款作为质保金待质保期结束后由甲方无息转账至乙方账户。</w:t>
      </w:r>
    </w:p>
    <w:p w14:paraId="4D6B20FD">
      <w:pPr>
        <w:autoSpaceDE w:val="0"/>
        <w:autoSpaceDN w:val="0"/>
        <w:adjustRightInd w:val="0"/>
        <w:snapToGrid w:val="0"/>
        <w:spacing w:line="360" w:lineRule="auto"/>
        <w:jc w:val="left"/>
        <w:rPr>
          <w:rFonts w:hint="eastAsia" w:ascii="宋体" w:hAnsi="宋体" w:cs="宋体"/>
          <w:color w:val="auto"/>
          <w:kern w:val="0"/>
          <w:szCs w:val="21"/>
          <w:highlight w:val="none"/>
        </w:rPr>
      </w:pPr>
    </w:p>
    <w:p w14:paraId="1362515F">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第四条 交货与验收</w:t>
      </w:r>
    </w:p>
    <w:p w14:paraId="1DE93FC7">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1．交货期：</w:t>
      </w:r>
      <w:r>
        <w:rPr>
          <w:rFonts w:hint="eastAsia" w:ascii="宋体" w:hAnsi="宋体" w:cs="宋体"/>
          <w:b/>
          <w:color w:val="auto"/>
          <w:szCs w:val="21"/>
          <w:highlight w:val="none"/>
        </w:rPr>
        <w:t>本项目总工期为</w:t>
      </w:r>
      <w:r>
        <w:rPr>
          <w:rFonts w:hint="eastAsia" w:ascii="宋体" w:hAnsi="宋体" w:cs="宋体"/>
          <w:b/>
          <w:color w:val="auto"/>
          <w:szCs w:val="21"/>
          <w:highlight w:val="none"/>
          <w:u w:val="single"/>
          <w:lang w:val="en-US" w:eastAsia="zh-CN"/>
        </w:rPr>
        <w:t>30</w:t>
      </w:r>
      <w:r>
        <w:rPr>
          <w:rFonts w:hint="eastAsia" w:ascii="宋体" w:hAnsi="宋体" w:cs="宋体"/>
          <w:b/>
          <w:color w:val="auto"/>
          <w:szCs w:val="21"/>
          <w:highlight w:val="none"/>
        </w:rPr>
        <w:t>天，</w:t>
      </w:r>
      <w:r>
        <w:rPr>
          <w:rFonts w:hint="eastAsia" w:ascii="宋体" w:hAnsi="宋体"/>
          <w:color w:val="auto"/>
          <w:kern w:val="0"/>
          <w:szCs w:val="21"/>
          <w:highlight w:val="none"/>
          <w:lang w:eastAsia="zh-HK"/>
        </w:rPr>
        <w:t>对于实际交货期的起止时间，</w:t>
      </w:r>
      <w:r>
        <w:rPr>
          <w:rFonts w:hint="eastAsia" w:ascii="宋体" w:hAnsi="宋体"/>
          <w:color w:val="auto"/>
          <w:kern w:val="0"/>
          <w:szCs w:val="21"/>
          <w:highlight w:val="none"/>
        </w:rPr>
        <w:t>甲方</w:t>
      </w:r>
      <w:r>
        <w:rPr>
          <w:rFonts w:hint="eastAsia" w:ascii="宋体" w:hAnsi="宋体"/>
          <w:color w:val="auto"/>
          <w:kern w:val="0"/>
          <w:szCs w:val="21"/>
          <w:highlight w:val="none"/>
          <w:lang w:eastAsia="zh-HK"/>
        </w:rPr>
        <w:t>有权根据实际项目需要作相应调整，</w:t>
      </w:r>
      <w:r>
        <w:rPr>
          <w:rFonts w:hint="eastAsia" w:ascii="宋体" w:hAnsi="宋体"/>
          <w:color w:val="auto"/>
          <w:kern w:val="0"/>
          <w:szCs w:val="21"/>
          <w:highlight w:val="none"/>
        </w:rPr>
        <w:t>乙方</w:t>
      </w:r>
      <w:r>
        <w:rPr>
          <w:rFonts w:hint="eastAsia" w:ascii="宋体" w:hAnsi="宋体"/>
          <w:color w:val="auto"/>
          <w:kern w:val="0"/>
          <w:szCs w:val="21"/>
          <w:highlight w:val="none"/>
          <w:lang w:eastAsia="zh-HK"/>
        </w:rPr>
        <w:t>应考虑相关风险并尽一切可能配合</w:t>
      </w:r>
      <w:r>
        <w:rPr>
          <w:rFonts w:hint="eastAsia" w:ascii="宋体" w:hAnsi="宋体"/>
          <w:color w:val="auto"/>
          <w:kern w:val="0"/>
          <w:szCs w:val="21"/>
          <w:highlight w:val="none"/>
        </w:rPr>
        <w:t>甲方</w:t>
      </w:r>
      <w:r>
        <w:rPr>
          <w:rFonts w:hint="eastAsia" w:ascii="宋体" w:hAnsi="宋体"/>
          <w:color w:val="auto"/>
          <w:kern w:val="0"/>
          <w:szCs w:val="21"/>
          <w:highlight w:val="none"/>
          <w:lang w:eastAsia="zh-HK"/>
        </w:rPr>
        <w:t>调整相应的执行计划，并不得以交货期起止时间变动为由要求调整合同价格。</w:t>
      </w:r>
    </w:p>
    <w:p w14:paraId="0620626E">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2．交货地点：</w:t>
      </w:r>
      <w:r>
        <w:rPr>
          <w:rFonts w:hint="eastAsia" w:ascii="宋体" w:hAnsi="宋体" w:cs="宋体"/>
          <w:b/>
          <w:bCs/>
          <w:color w:val="auto"/>
          <w:szCs w:val="21"/>
          <w:highlight w:val="none"/>
          <w:u w:val="single"/>
        </w:rPr>
        <w:t xml:space="preserve"> </w:t>
      </w:r>
      <w:r>
        <w:rPr>
          <w:rFonts w:hint="eastAsia" w:ascii="宋体" w:hAnsi="宋体" w:cs="宋体"/>
          <w:b/>
          <w:bCs/>
          <w:color w:val="auto"/>
          <w:szCs w:val="21"/>
          <w:highlight w:val="none"/>
          <w:u w:val="single"/>
          <w:lang w:val="en-US" w:eastAsia="zh-CN"/>
        </w:rPr>
        <w:t xml:space="preserve">                 </w:t>
      </w:r>
      <w:r>
        <w:rPr>
          <w:rFonts w:ascii="宋体" w:hAnsi="宋体"/>
          <w:color w:val="auto"/>
          <w:szCs w:val="21"/>
          <w:highlight w:val="none"/>
        </w:rPr>
        <w:t xml:space="preserve"> </w:t>
      </w:r>
    </w:p>
    <w:p w14:paraId="1A0AEFE1">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3．货样要求：乙方须在合同货物批量生产前，将各规格的货样各一套送至甲方指定地点进行货样验收，只有货样通过验收后才能按照不低于该货样的标准进行后续货物批量生产，该货样可作为合同货物部分。</w:t>
      </w:r>
    </w:p>
    <w:p w14:paraId="5DDED46C">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4．工厂验货要求：甲方可在合同货物生产的任意时间里去乙方工厂进行参观检验，主要考察合同货物的生产工艺及材料是否符合双方约定标准，甲方将提前一天通知乙方，在不影响乙方生产的前提下进行工厂验货。如工厂验货未达到双方约定标准，乙方有责任按照甲方提出的相关问题进行整改直至达到双方约定标准。</w:t>
      </w:r>
    </w:p>
    <w:p w14:paraId="3E06E290">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5．乙方将货物运至交货地点。并于到货前24小时将到货名称、型号、数量、外形尺寸、单重及注意事项等，以书面形式通知甲方。</w:t>
      </w:r>
    </w:p>
    <w:p w14:paraId="66D0D83A">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6．货物包装应符合国家标准，以保证货物在运输过程中不受损伤，由于包装不当造成货物在运输过程中有任何损坏或丢失，由乙方负责。</w:t>
      </w:r>
    </w:p>
    <w:p w14:paraId="710434E2">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7．货物由乙方负责送到施工现场，由乙方负责运输、卸车。货物在搬运过程中损坏了甲方设备、设施，由乙方负责修复。</w:t>
      </w:r>
    </w:p>
    <w:p w14:paraId="1F90185F">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8．货物到达现场，买卖双方均须在场并确认包装的完好性后，由甲方对货物进行清点验收，并签字确认。若发现货物与装箱单不符，乙方负责补齐或更换。</w:t>
      </w:r>
    </w:p>
    <w:p w14:paraId="6463C9CE">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9．乙方按照甲方书面通知的时间负责货物安装及调试，直至货物正常使用。最终验收在此后15天内进行，验收合格买卖双方签名确认。如甲方接到乙方验收通知15天内不组织验收，乙方可视为货物验收合格，甲方不得提出异议。如货物不能通过验收，甲方有权要求退货，乙方退还甲方所有已付款项。</w:t>
      </w:r>
    </w:p>
    <w:p w14:paraId="195133BC">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10．乙方应自带用以安装、调试过程中所需的各种工具、仪器仪表及易损件。</w:t>
      </w:r>
    </w:p>
    <w:p w14:paraId="6E4CBAE3">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11.装卸、安装、调试人身财产安全责任：所有在装卸货、安装、调试发生的人身财产安全责任全部由乙方承担，如有可追究责任人，乙方承担后可依法向相关责任人追偿。</w:t>
      </w:r>
    </w:p>
    <w:p w14:paraId="4F055FF6">
      <w:pPr>
        <w:snapToGrid w:val="0"/>
        <w:spacing w:line="360" w:lineRule="auto"/>
        <w:ind w:firstLine="340" w:firstLineChars="162"/>
        <w:rPr>
          <w:rFonts w:hint="eastAsia" w:ascii="宋体" w:hAnsi="宋体"/>
          <w:color w:val="auto"/>
          <w:szCs w:val="21"/>
          <w:highlight w:val="none"/>
        </w:rPr>
      </w:pPr>
      <w:r>
        <w:rPr>
          <w:rFonts w:ascii="宋体" w:hAnsi="宋体"/>
          <w:color w:val="auto"/>
          <w:szCs w:val="21"/>
          <w:highlight w:val="none"/>
        </w:rPr>
        <w:t>12.</w:t>
      </w:r>
      <w:r>
        <w:rPr>
          <w:rFonts w:hint="eastAsia" w:ascii="宋体" w:hAnsi="宋体"/>
          <w:color w:val="auto"/>
          <w:szCs w:val="21"/>
          <w:highlight w:val="none"/>
        </w:rPr>
        <w:t>乙方在生产前必须提供本次项目家具生产材料（油漆、板材、石材、胶水、海绵、五金）的《国家家具产品质量监督检验检测报告》；在家具成品制作完成后，须将床架及或其他成品抽样检测并合格。</w:t>
      </w:r>
    </w:p>
    <w:p w14:paraId="20E38C90">
      <w:pPr>
        <w:snapToGrid w:val="0"/>
        <w:spacing w:line="360" w:lineRule="auto"/>
        <w:ind w:firstLine="340" w:firstLineChars="162"/>
        <w:rPr>
          <w:rFonts w:hint="eastAsia" w:ascii="宋体" w:hAnsi="宋体"/>
          <w:color w:val="auto"/>
          <w:szCs w:val="21"/>
          <w:highlight w:val="none"/>
        </w:rPr>
      </w:pPr>
      <w:r>
        <w:rPr>
          <w:rFonts w:ascii="宋体" w:hAnsi="宋体"/>
          <w:bCs/>
          <w:color w:val="auto"/>
          <w:szCs w:val="21"/>
          <w:highlight w:val="none"/>
        </w:rPr>
        <w:t>13.</w:t>
      </w:r>
      <w:r>
        <w:rPr>
          <w:rFonts w:ascii="宋体" w:hAnsi="宋体"/>
          <w:color w:val="auto"/>
          <w:szCs w:val="21"/>
          <w:highlight w:val="none"/>
        </w:rPr>
        <w:t xml:space="preserve"> </w:t>
      </w:r>
      <w:r>
        <w:rPr>
          <w:rFonts w:hint="eastAsia" w:ascii="宋体" w:hAnsi="宋体"/>
          <w:color w:val="auto"/>
          <w:szCs w:val="21"/>
          <w:highlight w:val="none"/>
        </w:rPr>
        <w:t>为便于管理，甲方和乙方在项目期间的联络，应通过指定的项目各阶段的负责人进行。项目乙方负责人姓名：</w:t>
      </w:r>
      <w:r>
        <w:rPr>
          <w:rFonts w:ascii="宋体" w:hAnsi="宋体"/>
          <w:color w:val="auto"/>
          <w:szCs w:val="21"/>
          <w:highlight w:val="none"/>
          <w:u w:val="single"/>
        </w:rPr>
        <w:t xml:space="preserve">     </w:t>
      </w: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。如乙方负责人发生变更，应提前</w:t>
      </w:r>
      <w:r>
        <w:rPr>
          <w:rFonts w:ascii="宋体" w:hAnsi="宋体"/>
          <w:color w:val="auto"/>
          <w:szCs w:val="21"/>
          <w:highlight w:val="none"/>
        </w:rPr>
        <w:t>7天书面通知甲方，并经甲方书面确认。</w:t>
      </w:r>
    </w:p>
    <w:p w14:paraId="02BC1ED7">
      <w:pPr>
        <w:snapToGrid w:val="0"/>
        <w:spacing w:line="360" w:lineRule="auto"/>
        <w:ind w:firstLine="340" w:firstLineChars="162"/>
        <w:rPr>
          <w:rFonts w:hint="eastAsia" w:ascii="宋体" w:hAnsi="宋体"/>
          <w:color w:val="auto"/>
          <w:szCs w:val="21"/>
          <w:highlight w:val="none"/>
        </w:rPr>
      </w:pPr>
      <w:r>
        <w:rPr>
          <w:rFonts w:ascii="宋体" w:hAnsi="宋体"/>
          <w:color w:val="auto"/>
          <w:szCs w:val="21"/>
          <w:highlight w:val="none"/>
        </w:rPr>
        <w:t>14. 甲方指定</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为现场代表（联系电话：</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），行使甲方权利，</w:t>
      </w:r>
      <w:r>
        <w:rPr>
          <w:rFonts w:hint="eastAsia" w:ascii="宋体" w:hAnsi="宋体"/>
          <w:color w:val="auto"/>
          <w:szCs w:val="21"/>
          <w:highlight w:val="none"/>
        </w:rPr>
        <w:t>保证本项目安全、质量和进度达到合同要求，与乙方现场负责人沟通，协调解决施工现场问题。</w:t>
      </w:r>
    </w:p>
    <w:p w14:paraId="7B0C06F8">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第五条 质量保证与售后服务</w:t>
      </w:r>
    </w:p>
    <w:p w14:paraId="6569195F">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rPr>
        <w:t>1、乙方应严格按照国家有关标准和规定进行制造和检验，材料及零部件均为全新未用过的，且符合本合同附件的规定，以确保产品质量。货物须经技术检验，符合国家相关标准才能出厂。</w:t>
      </w:r>
    </w:p>
    <w:p w14:paraId="55CA0688">
      <w:pPr>
        <w:snapToGrid w:val="0"/>
        <w:spacing w:line="360" w:lineRule="auto"/>
        <w:ind w:firstLine="340" w:firstLineChars="162"/>
        <w:rPr>
          <w:rFonts w:hint="eastAsia" w:ascii="宋体" w:hAnsi="宋体"/>
          <w:color w:val="auto"/>
          <w:szCs w:val="21"/>
          <w:highlight w:val="none"/>
          <w:u w:val="single"/>
        </w:rPr>
      </w:pPr>
      <w:r>
        <w:rPr>
          <w:rFonts w:hint="eastAsia" w:ascii="宋体" w:hAnsi="宋体"/>
          <w:color w:val="auto"/>
          <w:szCs w:val="21"/>
          <w:highlight w:val="none"/>
        </w:rPr>
        <w:t>2、</w:t>
      </w:r>
      <w:r>
        <w:rPr>
          <w:rFonts w:hint="eastAsia" w:ascii="宋体" w:hAnsi="宋体"/>
          <w:color w:val="auto"/>
          <w:kern w:val="0"/>
          <w:szCs w:val="21"/>
          <w:highlight w:val="none"/>
        </w:rPr>
        <w:t>自验收合格之日起，提供</w:t>
      </w:r>
      <w:r>
        <w:rPr>
          <w:rFonts w:ascii="宋体" w:hAnsi="宋体"/>
          <w:b/>
          <w:bCs/>
          <w:color w:val="auto"/>
          <w:kern w:val="0"/>
          <w:szCs w:val="21"/>
          <w:highlight w:val="none"/>
          <w:u w:val="single"/>
        </w:rPr>
        <w:t xml:space="preserve"> </w:t>
      </w:r>
      <w:r>
        <w:rPr>
          <w:rFonts w:hint="eastAsia" w:ascii="宋体" w:hAnsi="宋体"/>
          <w:b/>
          <w:bCs/>
          <w:color w:val="auto"/>
          <w:kern w:val="0"/>
          <w:szCs w:val="21"/>
          <w:highlight w:val="none"/>
          <w:u w:val="single"/>
          <w:lang w:val="en-US" w:eastAsia="zh-CN"/>
        </w:rPr>
        <w:t>1</w:t>
      </w:r>
      <w:r>
        <w:rPr>
          <w:rFonts w:ascii="宋体" w:hAnsi="宋体"/>
          <w:b/>
          <w:bCs/>
          <w:color w:val="auto"/>
          <w:kern w:val="0"/>
          <w:szCs w:val="21"/>
          <w:highlight w:val="none"/>
          <w:u w:val="single"/>
        </w:rPr>
        <w:t xml:space="preserve">  </w:t>
      </w:r>
      <w:r>
        <w:rPr>
          <w:rFonts w:hint="eastAsia" w:ascii="宋体" w:hAnsi="宋体"/>
          <w:color w:val="auto"/>
          <w:kern w:val="0"/>
          <w:szCs w:val="21"/>
          <w:highlight w:val="none"/>
        </w:rPr>
        <w:t>年的免费质保期，质保期内，非因操作不当造成要更换的零配件及货物由乙方负责包修、包换。在质保期结束前1个月，乙方须免费对货物进行一次全面的维护与保养</w:t>
      </w:r>
      <w:r>
        <w:rPr>
          <w:rFonts w:hint="eastAsia" w:ascii="宋体" w:hAnsi="宋体"/>
          <w:color w:val="auto"/>
          <w:szCs w:val="21"/>
          <w:highlight w:val="none"/>
        </w:rPr>
        <w:t>。</w:t>
      </w:r>
    </w:p>
    <w:p w14:paraId="79336D64">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、质量保修期内要求乙方到达现场进行免费维修服务，一般故障12小时内解决，重大故障24小时内解决。故障原因24小时内无法排除的，则应提供相应备用产品以保证招标人正常使用。</w:t>
      </w:r>
    </w:p>
    <w:p w14:paraId="3356FCBC">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、乙方负责免费为甲方培训操作及维修人员。包括：基本原理，操作使用和维修保养。</w:t>
      </w:r>
    </w:p>
    <w:p w14:paraId="77B1E861">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、货物投入正常运行后，乙方应定期回访使用方。</w:t>
      </w:r>
    </w:p>
    <w:p w14:paraId="1D02F632">
      <w:pPr>
        <w:snapToGrid w:val="0"/>
        <w:spacing w:line="360" w:lineRule="auto"/>
        <w:ind w:firstLine="340" w:firstLineChars="162"/>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、乙方应投标文件中明确的售后服务内容、响应时间、范围、方式、收费标准等进行售后服务工作。</w:t>
      </w:r>
    </w:p>
    <w:p w14:paraId="30622C6B">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第六条</w:t>
      </w:r>
      <w:r>
        <w:rPr>
          <w:rFonts w:ascii="宋体" w:hAnsi="宋体"/>
          <w:b/>
          <w:color w:val="auto"/>
          <w:szCs w:val="21"/>
          <w:highlight w:val="none"/>
        </w:rPr>
        <w:t xml:space="preserve"> </w:t>
      </w:r>
      <w:r>
        <w:rPr>
          <w:rFonts w:hint="eastAsia" w:ascii="宋体" w:hAnsi="宋体"/>
          <w:b/>
          <w:color w:val="auto"/>
          <w:szCs w:val="21"/>
          <w:highlight w:val="none"/>
        </w:rPr>
        <w:t>产权与风险转移</w:t>
      </w:r>
    </w:p>
    <w:p w14:paraId="56DF32C9">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1、货物所有权自交付甲方之日起转移至甲方。</w:t>
      </w:r>
    </w:p>
    <w:p w14:paraId="4F633541">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2、货物损坏、灭失的风险在安装、调试完成交付正常使用，并最终验收合格后同时由乙方转移至甲方。</w:t>
      </w:r>
    </w:p>
    <w:p w14:paraId="6D60C1FB">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3、在拒收情况下，或者解除合同的，货物毁损、灭失的风险由乙方承担。</w:t>
      </w:r>
    </w:p>
    <w:p w14:paraId="71D9516C">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4、所有权和风险的转移，不影响因乙方履行义务不符合约定，甲方要求其承担违约责任的权利。</w:t>
      </w:r>
    </w:p>
    <w:p w14:paraId="4DCF03FA">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5、乙方交由承运人运输的在途货物，毁损、灭失的风险由乙方承担。</w:t>
      </w:r>
    </w:p>
    <w:p w14:paraId="0C9AD103">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第七条 违约责任</w:t>
      </w:r>
    </w:p>
    <w:p w14:paraId="5AAF2D5B">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1、乙方若有以下情形之一的，甲方有权要求乙方赔偿货物总价20%的违约金，并有权解除本合同：</w:t>
      </w:r>
    </w:p>
    <w:p w14:paraId="3E0DB19D">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（1）、提供的产品质量不符合合同约定，经2次返修仍不能正常使用。</w:t>
      </w:r>
    </w:p>
    <w:p w14:paraId="3CCF3EDC">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（2）、未能按订单确认的交货期限准时供货，逾期超过三天（含本数）。（乙方逾期交货的，每逾期一天，均应向甲方加付迟延交付货物总价的千分之四的违约金）。</w:t>
      </w:r>
    </w:p>
    <w:p w14:paraId="71C1BB9D">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若上述违约金不足以弥补甲方损失的，甲方有权继续向乙方追偿。所有乙方应当承担的违约金、赔偿金等责任，甲方均有权在应支付给乙方的款项中直接扣除，不足以扣除的，甲方有权继续要求乙方支付或赔偿。</w:t>
      </w:r>
    </w:p>
    <w:p w14:paraId="32D3543A">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2、乙方应如约履行合同其他义务，如协助安装调试、提供培训、保修、质保期满后指导甲方更换货物零配件及日常维护等，如乙方违反本条规定，甲方有权向乙方追究合同总额10%的违约金。</w:t>
      </w:r>
    </w:p>
    <w:p w14:paraId="3E9F91A0">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3、甲方保证按时付清货款，如甲方不能按时付款的，乙方有权按日追究迟延付款额万分之五的违约金。</w:t>
      </w:r>
    </w:p>
    <w:p w14:paraId="48835319">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第八条</w:t>
      </w:r>
      <w:bookmarkStart w:id="22" w:name="#304962"/>
      <w:bookmarkEnd w:id="22"/>
      <w:r>
        <w:rPr>
          <w:rFonts w:hint="eastAsia" w:ascii="宋体" w:hAnsi="宋体"/>
          <w:b/>
          <w:color w:val="auto"/>
          <w:szCs w:val="21"/>
          <w:highlight w:val="none"/>
        </w:rPr>
        <w:t xml:space="preserve"> 争议解决方式</w:t>
      </w:r>
      <w:bookmarkStart w:id="23" w:name="#304963"/>
      <w:bookmarkEnd w:id="23"/>
    </w:p>
    <w:p w14:paraId="6C3F0742">
      <w:pPr>
        <w:widowControl/>
        <w:snapToGrid w:val="0"/>
        <w:spacing w:line="360" w:lineRule="auto"/>
        <w:ind w:right="31" w:rightChars="15" w:firstLine="340" w:firstLineChars="162"/>
        <w:jc w:val="left"/>
        <w:rPr>
          <w:rFonts w:hint="eastAsia" w:ascii="宋体" w:hAnsi="宋体" w:cs="Arial"/>
          <w:color w:val="auto"/>
          <w:kern w:val="0"/>
          <w:szCs w:val="21"/>
          <w:highlight w:val="none"/>
        </w:rPr>
      </w:pPr>
      <w:r>
        <w:rPr>
          <w:rFonts w:hint="eastAsia" w:ascii="宋体" w:hAnsi="宋体" w:cs="Arial"/>
          <w:color w:val="auto"/>
          <w:kern w:val="0"/>
          <w:szCs w:val="21"/>
          <w:highlight w:val="none"/>
        </w:rPr>
        <w:t>所有由本协议产生的争议，双方应当友好协商解决。如不能通过友好协商解决争议，选定下面第</w:t>
      </w:r>
      <w:r>
        <w:rPr>
          <w:rFonts w:hint="eastAsia" w:ascii="宋体" w:hAnsi="宋体" w:cs="Arial"/>
          <w:color w:val="auto"/>
          <w:kern w:val="0"/>
          <w:szCs w:val="21"/>
          <w:highlight w:val="none"/>
          <w:u w:val="single"/>
        </w:rPr>
        <w:t>2</w:t>
      </w:r>
      <w:r>
        <w:rPr>
          <w:rFonts w:hint="eastAsia" w:ascii="宋体" w:hAnsi="宋体" w:cs="Arial"/>
          <w:color w:val="auto"/>
          <w:kern w:val="0"/>
          <w:szCs w:val="21"/>
          <w:highlight w:val="none"/>
        </w:rPr>
        <w:t>种方式解决：</w:t>
      </w:r>
    </w:p>
    <w:p w14:paraId="742F276B">
      <w:pPr>
        <w:widowControl/>
        <w:snapToGrid w:val="0"/>
        <w:spacing w:line="360" w:lineRule="auto"/>
        <w:ind w:right="31" w:rightChars="15" w:firstLine="340" w:firstLineChars="162"/>
        <w:jc w:val="left"/>
        <w:rPr>
          <w:rFonts w:hint="eastAsia" w:ascii="宋体" w:hAnsi="宋体" w:cs="Arial"/>
          <w:color w:val="auto"/>
          <w:kern w:val="0"/>
          <w:szCs w:val="21"/>
          <w:highlight w:val="none"/>
        </w:rPr>
      </w:pPr>
      <w:r>
        <w:rPr>
          <w:rFonts w:hint="eastAsia" w:ascii="宋体" w:hAnsi="宋体" w:cs="Arial"/>
          <w:color w:val="auto"/>
          <w:kern w:val="0"/>
          <w:szCs w:val="21"/>
          <w:highlight w:val="none"/>
        </w:rPr>
        <w:t>（1）向广州仲裁委员会申请仲裁。</w:t>
      </w:r>
    </w:p>
    <w:p w14:paraId="577565C8">
      <w:pPr>
        <w:widowControl/>
        <w:snapToGrid w:val="0"/>
        <w:spacing w:line="360" w:lineRule="auto"/>
        <w:ind w:right="31" w:rightChars="15" w:firstLine="340" w:firstLineChars="162"/>
        <w:jc w:val="left"/>
        <w:rPr>
          <w:rFonts w:hint="eastAsia" w:ascii="宋体" w:hAnsi="宋体" w:cs="Arial"/>
          <w:color w:val="auto"/>
          <w:kern w:val="0"/>
          <w:szCs w:val="21"/>
          <w:highlight w:val="none"/>
        </w:rPr>
      </w:pPr>
      <w:r>
        <w:rPr>
          <w:rFonts w:hint="eastAsia" w:ascii="宋体" w:hAnsi="宋体" w:cs="Arial"/>
          <w:color w:val="auto"/>
          <w:kern w:val="0"/>
          <w:szCs w:val="21"/>
          <w:highlight w:val="none"/>
        </w:rPr>
        <w:t>（2）依法向甲方所在地人民法院起诉。</w:t>
      </w:r>
    </w:p>
    <w:p w14:paraId="5D6C1ACF">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第九条 其他</w:t>
      </w:r>
    </w:p>
    <w:p w14:paraId="26E0BE2E">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bCs/>
          <w:color w:val="auto"/>
          <w:szCs w:val="21"/>
          <w:highlight w:val="none"/>
        </w:rPr>
        <w:t>作为合同附件的发货清单、安装说明、使用说明、保修说明等均</w:t>
      </w:r>
      <w:r>
        <w:rPr>
          <w:rFonts w:hint="eastAsia" w:ascii="宋体" w:hAnsi="宋体"/>
          <w:color w:val="auto"/>
          <w:szCs w:val="21"/>
          <w:highlight w:val="none"/>
        </w:rPr>
        <w:t>为本合同的有效组成部分，与本合同具有同等法律效力；</w:t>
      </w:r>
    </w:p>
    <w:p w14:paraId="5397303C">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2、质保期内，若发生货物使用故障，乙方应于</w:t>
      </w:r>
      <w:r>
        <w:rPr>
          <w:rFonts w:hint="eastAsia" w:ascii="宋体" w:hAnsi="宋体"/>
          <w:color w:val="auto"/>
          <w:szCs w:val="21"/>
          <w:highlight w:val="none"/>
        </w:rPr>
        <w:t>到达现场进行免费维修服务，一般故障12小时内解决，重大故障24小时内解决</w:t>
      </w:r>
      <w:r>
        <w:rPr>
          <w:rFonts w:hint="eastAsia" w:ascii="宋体" w:hAnsi="宋体"/>
          <w:bCs/>
          <w:color w:val="auto"/>
          <w:szCs w:val="21"/>
          <w:highlight w:val="none"/>
        </w:rPr>
        <w:t>内派专业人员至故障发生地进行维修或其他售后服务。乙方应尽快修复故障设备，不得无故拖延。</w:t>
      </w:r>
      <w:r>
        <w:rPr>
          <w:rFonts w:hint="eastAsia" w:ascii="宋体" w:hAnsi="宋体"/>
          <w:color w:val="auto"/>
          <w:szCs w:val="21"/>
          <w:highlight w:val="none"/>
        </w:rPr>
        <w:t>若在24小时内仍未能有效解决，乙方须免费提供同档次的货物予甲方临时使用。</w:t>
      </w:r>
      <w:r>
        <w:rPr>
          <w:rFonts w:hint="eastAsia" w:ascii="宋体" w:hAnsi="宋体"/>
          <w:bCs/>
          <w:color w:val="auto"/>
          <w:szCs w:val="21"/>
          <w:highlight w:val="none"/>
        </w:rPr>
        <w:t>若因乙方违反前述保修义务造成甲方损失，甲方有权要求乙方赔偿。</w:t>
      </w:r>
    </w:p>
    <w:p w14:paraId="66E5D412">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3、质保期满后，若发生货物使用故障，应甲方要求，乙方需派专业人员免费指导维修。配件费用和人工费用由甲方承担。</w:t>
      </w:r>
    </w:p>
    <w:p w14:paraId="4232F684">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4、甲方应正确使用货物，因甲方不正确使用、保养造成货物损坏的，乙方不承担责任。若因货物存在质量问题导致甲方物料损失、人员伤亡等损失的，乙方需承担赔偿责任。</w:t>
      </w:r>
    </w:p>
    <w:p w14:paraId="18BE7F6F">
      <w:pPr>
        <w:snapToGrid w:val="0"/>
        <w:spacing w:line="360" w:lineRule="auto"/>
        <w:ind w:right="31" w:rightChars="15" w:firstLine="340" w:firstLineChars="162"/>
        <w:rPr>
          <w:rFonts w:hint="eastAsia" w:ascii="宋体" w:hAnsi="宋体"/>
          <w:bCs/>
          <w:color w:val="auto"/>
          <w:szCs w:val="21"/>
          <w:highlight w:val="none"/>
        </w:rPr>
      </w:pPr>
      <w:r>
        <w:rPr>
          <w:rFonts w:hint="eastAsia" w:ascii="宋体" w:hAnsi="宋体"/>
          <w:bCs/>
          <w:color w:val="auto"/>
          <w:szCs w:val="21"/>
          <w:highlight w:val="none"/>
        </w:rPr>
        <w:t>5、</w:t>
      </w:r>
      <w:r>
        <w:rPr>
          <w:rFonts w:hint="eastAsia" w:ascii="宋体" w:hAnsi="宋体"/>
          <w:color w:val="auto"/>
          <w:szCs w:val="21"/>
          <w:highlight w:val="none"/>
        </w:rPr>
        <w:t>在货物安装调试时，如乙方提出要求的，甲方应为乙方人员的食宿提供方便，其费用由乙方自理。</w:t>
      </w:r>
    </w:p>
    <w:p w14:paraId="2E189C27">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6、本合同的未尽事宜及本合同在履行过程中需变更的事宜，双方应通过订立补充条款或补充协议进行约定。本合同的补充条款、补充协议及附件均为本合同不可分割的部分。</w:t>
      </w:r>
    </w:p>
    <w:p w14:paraId="75C4786E">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7、本合同及其补充条款、补充协议及附件中的手写文字与打印文字有矛盾时，以手写文字为准。如阿拉伯数字与大写数字有矛盾时，以大写数字为准。</w:t>
      </w:r>
    </w:p>
    <w:p w14:paraId="21149E98">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8、其他约定事项：</w:t>
      </w:r>
    </w:p>
    <w:p w14:paraId="2823D3C6">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除本合同另有约定外，出现以下情况之一的，乙方将被列入不合格供应商黑名单，且甲方有权立即终止合作或合同：</w:t>
      </w:r>
    </w:p>
    <w:p w14:paraId="37DAB910">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（1）提供伪劣不合格产品或服务质量严重不达标的。</w:t>
      </w:r>
    </w:p>
    <w:p w14:paraId="2B41BA55">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（2）提供掺假、假冒货品。</w:t>
      </w:r>
    </w:p>
    <w:p w14:paraId="3DC5E750">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（3）提供货品数量与实际要求不一致。</w:t>
      </w:r>
    </w:p>
    <w:p w14:paraId="349E177C">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（4）拿取（或盗窃）酒店内任何物品和所送货品。</w:t>
      </w:r>
    </w:p>
    <w:p w14:paraId="1DF1A238">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（5）伪造证照，提供虚假材料、隐瞒真实情况，或采取其他违法违规手段谋取中标的。</w:t>
      </w:r>
    </w:p>
    <w:p w14:paraId="268ABDC4">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（6）中标后无正当理由不签订合同的。</w:t>
      </w:r>
    </w:p>
    <w:p w14:paraId="68FC0DA0">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（7）无正当理由擅自变更或终止合同的。</w:t>
      </w:r>
    </w:p>
    <w:p w14:paraId="24DDCDCC">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（8）围标、串标的或哄抬物价的。</w:t>
      </w:r>
    </w:p>
    <w:p w14:paraId="44D3AD83">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（9）向酒店员工、招投标评委或利益关系人等行贿、送礼、请吃或提供其他不正当利益的。</w:t>
      </w:r>
    </w:p>
    <w:p w14:paraId="31941A7F">
      <w:pPr>
        <w:snapToGrid w:val="0"/>
        <w:spacing w:line="360" w:lineRule="auto"/>
        <w:ind w:right="31" w:rightChars="15" w:firstLine="420" w:firstLineChars="200"/>
        <w:rPr>
          <w:rFonts w:hint="eastAsia" w:ascii="宋体" w:hAnsi="宋体"/>
          <w:color w:val="auto"/>
          <w:szCs w:val="21"/>
          <w:highlight w:val="none"/>
        </w:rPr>
      </w:pPr>
      <w:r>
        <w:rPr>
          <w:rFonts w:hint="eastAsia" w:ascii="宋体" w:hAnsi="宋体"/>
          <w:color w:val="auto"/>
          <w:szCs w:val="21"/>
          <w:highlight w:val="none"/>
        </w:rPr>
        <w:t>一方在本合同履行过程中向另一方发出或者提供的所有通知、文件、文书、资料等，均可以本合同所列明的地址送达；一方如果迁址或者变更电话，应当及时书面通知另一方，未履行通知义务的，另一方按原地址邮寄相关材料即视为已履行送达义务；当面交付上述材料的，在交付之时视为送达。</w:t>
      </w:r>
    </w:p>
    <w:p w14:paraId="39D9EE4A">
      <w:pPr>
        <w:snapToGrid w:val="0"/>
        <w:spacing w:line="360" w:lineRule="auto"/>
        <w:ind w:firstLine="422" w:firstLineChars="200"/>
        <w:outlineLvl w:val="2"/>
        <w:rPr>
          <w:rFonts w:hint="eastAsia" w:ascii="宋体" w:hAnsi="宋体"/>
          <w:b/>
          <w:color w:val="auto"/>
          <w:szCs w:val="21"/>
          <w:highlight w:val="none"/>
        </w:rPr>
      </w:pPr>
      <w:r>
        <w:rPr>
          <w:rFonts w:hint="eastAsia" w:ascii="宋体" w:hAnsi="宋体"/>
          <w:b/>
          <w:color w:val="auto"/>
          <w:szCs w:val="21"/>
          <w:highlight w:val="none"/>
        </w:rPr>
        <w:t>第十条　生效</w:t>
      </w:r>
    </w:p>
    <w:p w14:paraId="2E2531A1">
      <w:pPr>
        <w:snapToGrid w:val="0"/>
        <w:spacing w:line="360" w:lineRule="auto"/>
        <w:ind w:right="31" w:rightChars="15" w:firstLine="340" w:firstLineChars="162"/>
        <w:rPr>
          <w:rFonts w:hint="eastAsia" w:ascii="宋体" w:hAnsi="宋体"/>
          <w:color w:val="auto"/>
          <w:szCs w:val="21"/>
          <w:highlight w:val="none"/>
        </w:rPr>
      </w:pPr>
      <w:r>
        <w:rPr>
          <w:rFonts w:hint="eastAsia" w:ascii="宋体" w:hAnsi="宋体"/>
          <w:color w:val="auto"/>
          <w:szCs w:val="21"/>
          <w:highlight w:val="none"/>
        </w:rPr>
        <w:t>本合同自双方签字、盖章之日起生效。本合同一式   份。双方各持   份，均具有同等效力。</w:t>
      </w:r>
    </w:p>
    <w:p w14:paraId="025A8A98">
      <w:pPr>
        <w:snapToGrid w:val="0"/>
        <w:spacing w:line="360" w:lineRule="auto"/>
        <w:ind w:right="31" w:rightChars="15"/>
        <w:rPr>
          <w:rFonts w:hint="eastAsia" w:ascii="宋体" w:hAnsi="宋体"/>
          <w:color w:val="auto"/>
          <w:szCs w:val="21"/>
          <w:highlight w:val="none"/>
        </w:rPr>
      </w:pPr>
    </w:p>
    <w:p w14:paraId="081D13C0">
      <w:pPr>
        <w:snapToGrid w:val="0"/>
        <w:spacing w:line="360" w:lineRule="auto"/>
        <w:ind w:right="31" w:rightChars="15" w:firstLine="340" w:firstLineChars="162"/>
        <w:rPr>
          <w:rFonts w:hint="eastAsia" w:ascii="宋体" w:hAnsi="宋体" w:cs="宋体"/>
          <w:color w:val="auto"/>
          <w:kern w:val="0"/>
          <w:szCs w:val="21"/>
          <w:highlight w:val="none"/>
        </w:rPr>
      </w:pPr>
      <w:r>
        <w:rPr>
          <w:rFonts w:hint="eastAsia" w:ascii="宋体" w:hAnsi="宋体"/>
          <w:color w:val="auto"/>
          <w:szCs w:val="21"/>
          <w:highlight w:val="none"/>
        </w:rPr>
        <w:t>合同附件：</w:t>
      </w:r>
      <w:r>
        <w:rPr>
          <w:rFonts w:ascii="宋体" w:hAnsi="宋体"/>
          <w:color w:val="auto"/>
          <w:szCs w:val="21"/>
          <w:highlight w:val="none"/>
        </w:rPr>
        <w:t>1.</w:t>
      </w:r>
      <w:r>
        <w:rPr>
          <w:rFonts w:hint="eastAsia" w:ascii="宋体" w:hAnsi="宋体"/>
          <w:color w:val="auto"/>
          <w:szCs w:val="21"/>
          <w:highlight w:val="none"/>
        </w:rPr>
        <w:t>廉洁协议书</w:t>
      </w:r>
    </w:p>
    <w:p w14:paraId="3AD1EDEE">
      <w:pPr>
        <w:autoSpaceDE w:val="0"/>
        <w:autoSpaceDN w:val="0"/>
        <w:adjustRightInd w:val="0"/>
        <w:snapToGrid w:val="0"/>
        <w:spacing w:line="360" w:lineRule="auto"/>
        <w:ind w:firstLine="1381" w:firstLineChars="658"/>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2.采购报价清单</w:t>
      </w:r>
    </w:p>
    <w:p w14:paraId="12FB4D0C">
      <w:pPr>
        <w:snapToGrid w:val="0"/>
        <w:spacing w:line="360" w:lineRule="auto"/>
        <w:ind w:right="31" w:rightChars="15" w:firstLine="1390" w:firstLineChars="662"/>
        <w:rPr>
          <w:rFonts w:hint="eastAsia"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w:t>
      </w:r>
      <w:r>
        <w:rPr>
          <w:rFonts w:hint="eastAsia" w:ascii="宋体" w:hAnsi="宋体"/>
          <w:color w:val="auto"/>
          <w:szCs w:val="21"/>
          <w:highlight w:val="none"/>
        </w:rPr>
        <w:t>安全责任合同</w:t>
      </w:r>
    </w:p>
    <w:p w14:paraId="5352BED8">
      <w:pPr>
        <w:snapToGrid w:val="0"/>
        <w:spacing w:line="360" w:lineRule="auto"/>
        <w:ind w:right="31" w:rightChars="15" w:firstLine="1383" w:firstLineChars="659"/>
        <w:rPr>
          <w:rFonts w:hint="eastAsia" w:ascii="宋体" w:hAnsi="宋体"/>
          <w:color w:val="auto"/>
          <w:szCs w:val="21"/>
          <w:highlight w:val="none"/>
        </w:rPr>
      </w:pPr>
      <w:r>
        <w:rPr>
          <w:rFonts w:hint="eastAsia" w:ascii="宋体" w:hAnsi="宋体"/>
          <w:color w:val="auto"/>
          <w:szCs w:val="21"/>
          <w:highlight w:val="none"/>
        </w:rPr>
        <w:t>4.质量保修书</w:t>
      </w:r>
    </w:p>
    <w:p w14:paraId="7A041A6E">
      <w:pPr>
        <w:snapToGrid w:val="0"/>
        <w:spacing w:line="360" w:lineRule="auto"/>
        <w:ind w:right="31" w:rightChars="15" w:firstLine="1383" w:firstLineChars="659"/>
        <w:rPr>
          <w:rFonts w:hint="eastAsia" w:ascii="宋体" w:hAnsi="宋体"/>
          <w:color w:val="auto"/>
          <w:szCs w:val="21"/>
          <w:highlight w:val="none"/>
        </w:rPr>
      </w:pPr>
    </w:p>
    <w:p w14:paraId="5DB814AD">
      <w:pPr>
        <w:snapToGrid w:val="0"/>
        <w:spacing w:line="360" w:lineRule="auto"/>
        <w:rPr>
          <w:rFonts w:hint="eastAsia" w:ascii="宋体" w:hAnsi="宋体"/>
          <w:b/>
          <w:color w:val="auto"/>
          <w:szCs w:val="21"/>
          <w:highlight w:val="none"/>
        </w:rPr>
      </w:pPr>
      <w:r>
        <w:rPr>
          <w:rFonts w:hint="eastAsia" w:ascii="宋体" w:hAnsi="宋体"/>
          <w:b/>
          <w:color w:val="auto"/>
          <w:szCs w:val="21"/>
          <w:highlight w:val="none"/>
        </w:rPr>
        <w:t>甲方（盖章）：</w:t>
      </w:r>
      <w:r>
        <w:rPr>
          <w:rFonts w:hint="eastAsia" w:ascii="宋体" w:hAnsi="宋体"/>
          <w:b/>
          <w:color w:val="auto"/>
          <w:szCs w:val="21"/>
          <w:highlight w:val="none"/>
          <w:u w:val="single"/>
        </w:rPr>
        <w:t xml:space="preserve">                 </w:t>
      </w:r>
      <w:r>
        <w:rPr>
          <w:rFonts w:hint="eastAsia" w:ascii="宋体" w:hAnsi="宋体"/>
          <w:b/>
          <w:color w:val="auto"/>
          <w:szCs w:val="21"/>
          <w:highlight w:val="none"/>
        </w:rPr>
        <w:t>　    乙方（盖章）：</w:t>
      </w:r>
      <w:r>
        <w:rPr>
          <w:rFonts w:hint="eastAsia" w:ascii="宋体" w:hAnsi="宋体"/>
          <w:b/>
          <w:color w:val="auto"/>
          <w:szCs w:val="21"/>
          <w:highlight w:val="none"/>
          <w:u w:val="single"/>
        </w:rPr>
        <w:t xml:space="preserve"> </w:t>
      </w:r>
      <w:r>
        <w:rPr>
          <w:rFonts w:ascii="宋体" w:hAnsi="宋体"/>
          <w:b/>
          <w:color w:val="auto"/>
          <w:szCs w:val="21"/>
          <w:highlight w:val="none"/>
          <w:u w:val="single"/>
        </w:rPr>
        <w:t xml:space="preserve">       </w:t>
      </w:r>
      <w:r>
        <w:rPr>
          <w:rFonts w:hint="eastAsia" w:ascii="宋体" w:hAnsi="宋体"/>
          <w:b/>
          <w:color w:val="auto"/>
          <w:szCs w:val="21"/>
          <w:highlight w:val="none"/>
          <w:u w:val="single"/>
        </w:rPr>
        <w:t xml:space="preserve">       </w:t>
      </w:r>
      <w:r>
        <w:rPr>
          <w:rFonts w:ascii="宋体" w:hAnsi="宋体"/>
          <w:b/>
          <w:color w:val="auto"/>
          <w:szCs w:val="21"/>
          <w:highlight w:val="none"/>
          <w:u w:val="single"/>
        </w:rPr>
        <w:t xml:space="preserve">   </w:t>
      </w:r>
    </w:p>
    <w:p w14:paraId="3917AC58">
      <w:pPr>
        <w:snapToGrid w:val="0"/>
        <w:spacing w:line="360" w:lineRule="auto"/>
        <w:rPr>
          <w:rFonts w:hint="eastAsia" w:ascii="宋体" w:hAnsi="宋体"/>
          <w:color w:val="auto"/>
          <w:szCs w:val="21"/>
          <w:highlight w:val="none"/>
          <w:u w:val="single"/>
        </w:rPr>
      </w:pPr>
      <w:r>
        <w:rPr>
          <w:rFonts w:hint="eastAsia" w:ascii="宋体" w:hAnsi="宋体"/>
          <w:color w:val="auto"/>
          <w:szCs w:val="21"/>
          <w:highlight w:val="none"/>
        </w:rPr>
        <w:t>法定代表人（签字）：</w:t>
      </w:r>
      <w:r>
        <w:rPr>
          <w:rFonts w:hint="eastAsia" w:ascii="宋体" w:hAnsi="宋体"/>
          <w:color w:val="auto"/>
          <w:szCs w:val="21"/>
          <w:highlight w:val="none"/>
          <w:u w:val="single"/>
        </w:rPr>
        <w:t xml:space="preserve">           </w:t>
      </w:r>
      <w:r>
        <w:rPr>
          <w:rFonts w:hint="eastAsia" w:ascii="宋体" w:hAnsi="宋体"/>
          <w:color w:val="auto"/>
          <w:szCs w:val="21"/>
          <w:highlight w:val="none"/>
        </w:rPr>
        <w:t>　    法定代表人（签字）：</w:t>
      </w:r>
      <w:r>
        <w:rPr>
          <w:rFonts w:hint="eastAsia" w:ascii="宋体" w:hAnsi="宋体"/>
          <w:color w:val="auto"/>
          <w:szCs w:val="21"/>
          <w:highlight w:val="none"/>
          <w:u w:val="single"/>
        </w:rPr>
        <w:t xml:space="preserve">            </w:t>
      </w:r>
    </w:p>
    <w:p w14:paraId="462A7487">
      <w:pPr>
        <w:tabs>
          <w:tab w:val="left" w:pos="7185"/>
        </w:tabs>
        <w:snapToGrid w:val="0"/>
        <w:spacing w:line="360" w:lineRule="auto"/>
        <w:ind w:left="210" w:hanging="210" w:hangingChars="100"/>
        <w:rPr>
          <w:rFonts w:hint="eastAsia" w:ascii="宋体" w:hAnsi="宋体"/>
          <w:color w:val="auto"/>
          <w:szCs w:val="21"/>
          <w:highlight w:val="none"/>
        </w:rPr>
      </w:pPr>
      <w:r>
        <w:rPr>
          <w:rFonts w:hint="eastAsia" w:ascii="宋体" w:hAnsi="宋体"/>
          <w:color w:val="auto"/>
          <w:szCs w:val="21"/>
          <w:highlight w:val="none"/>
        </w:rPr>
        <w:t>委托代理人（签字）：                 委托代理人（签字）：</w:t>
      </w:r>
      <w:r>
        <w:rPr>
          <w:rFonts w:ascii="宋体" w:hAnsi="宋体"/>
          <w:color w:val="auto"/>
          <w:szCs w:val="21"/>
          <w:highlight w:val="none"/>
        </w:rPr>
        <w:tab/>
      </w:r>
    </w:p>
    <w:p w14:paraId="3BFC5F05">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　    开户银行：</w:t>
      </w:r>
      <w:r>
        <w:rPr>
          <w:rFonts w:hint="eastAsia" w:ascii="宋体" w:hAnsi="宋体"/>
          <w:color w:val="auto"/>
          <w:szCs w:val="21"/>
          <w:highlight w:val="none"/>
          <w:u w:val="single"/>
        </w:rPr>
        <w:t xml:space="preserve">                     </w:t>
      </w:r>
    </w:p>
    <w:p w14:paraId="795C31AF">
      <w:pPr>
        <w:snapToGrid w:val="0"/>
        <w:spacing w:line="360" w:lineRule="auto"/>
        <w:rPr>
          <w:rFonts w:hint="eastAsia" w:ascii="宋体" w:hAnsi="宋体"/>
          <w:color w:val="auto"/>
          <w:szCs w:val="21"/>
          <w:highlight w:val="none"/>
          <w:u w:val="single"/>
        </w:rPr>
      </w:pP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账号：</w:t>
      </w:r>
      <w:r>
        <w:rPr>
          <w:rFonts w:hint="eastAsia" w:ascii="宋体" w:hAnsi="宋体"/>
          <w:color w:val="auto"/>
          <w:szCs w:val="21"/>
          <w:highlight w:val="none"/>
          <w:u w:val="single"/>
        </w:rPr>
        <w:t xml:space="preserve">                         </w:t>
      </w:r>
    </w:p>
    <w:p w14:paraId="5216FB0B">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签订日期：     年   月   日         签订日期：     年   月   日  </w:t>
      </w:r>
    </w:p>
    <w:p w14:paraId="5457532A">
      <w:pPr>
        <w:tabs>
          <w:tab w:val="left" w:pos="900"/>
          <w:tab w:val="right" w:leader="dot" w:pos="8948"/>
        </w:tabs>
        <w:snapToGrid w:val="0"/>
        <w:spacing w:line="360" w:lineRule="auto"/>
        <w:jc w:val="left"/>
        <w:rPr>
          <w:rFonts w:hint="eastAsia" w:ascii="宋体" w:hAnsi="宋体"/>
          <w:color w:val="auto"/>
          <w:szCs w:val="21"/>
          <w:highlight w:val="none"/>
          <w:u w:val="single"/>
        </w:rPr>
      </w:pPr>
      <w:r>
        <w:rPr>
          <w:rFonts w:hint="eastAsia" w:ascii="宋体" w:hAnsi="宋体"/>
          <w:smallCaps/>
          <w:color w:val="auto"/>
          <w:szCs w:val="21"/>
          <w:highlight w:val="none"/>
        </w:rPr>
        <w:t>签订地点：</w:t>
      </w:r>
      <w:r>
        <w:rPr>
          <w:rFonts w:hint="eastAsia" w:ascii="宋体" w:hAnsi="宋体"/>
          <w:color w:val="auto"/>
          <w:szCs w:val="21"/>
          <w:highlight w:val="none"/>
          <w:u w:val="single"/>
        </w:rPr>
        <w:t xml:space="preserve">                　 　</w:t>
      </w:r>
      <w:r>
        <w:rPr>
          <w:rFonts w:hint="eastAsia" w:ascii="宋体" w:hAnsi="宋体"/>
          <w:smallCaps/>
          <w:color w:val="auto"/>
          <w:szCs w:val="21"/>
          <w:highlight w:val="none"/>
        </w:rPr>
        <w:t>　    签订地点：</w:t>
      </w:r>
      <w:r>
        <w:rPr>
          <w:rFonts w:hint="eastAsia" w:ascii="宋体" w:hAnsi="宋体"/>
          <w:color w:val="auto"/>
          <w:szCs w:val="21"/>
          <w:highlight w:val="none"/>
          <w:u w:val="single"/>
        </w:rPr>
        <w:t xml:space="preserve">                   　 </w:t>
      </w:r>
    </w:p>
    <w:p w14:paraId="2224CF78">
      <w:pPr>
        <w:snapToGrid w:val="0"/>
        <w:spacing w:line="360" w:lineRule="auto"/>
        <w:rPr>
          <w:rFonts w:hint="eastAsia" w:ascii="宋体" w:hAnsi="宋体"/>
          <w:color w:val="auto"/>
          <w:szCs w:val="21"/>
          <w:highlight w:val="none"/>
          <w:u w:val="single"/>
        </w:rPr>
      </w:pPr>
      <w:r>
        <w:rPr>
          <w:rFonts w:hint="eastAsia" w:ascii="宋体" w:hAnsi="宋体"/>
          <w:color w:val="auto"/>
          <w:szCs w:val="21"/>
          <w:highlight w:val="none"/>
          <w:u w:val="single"/>
        </w:rPr>
        <w:br w:type="page"/>
      </w:r>
    </w:p>
    <w:p w14:paraId="1C0904B4">
      <w:pPr>
        <w:pStyle w:val="4"/>
        <w:rPr>
          <w:rFonts w:hint="eastAsia"/>
          <w:color w:val="auto"/>
          <w:highlight w:val="none"/>
        </w:rPr>
      </w:pPr>
      <w:r>
        <w:rPr>
          <w:rFonts w:hint="eastAsia"/>
          <w:color w:val="auto"/>
          <w:highlight w:val="none"/>
        </w:rPr>
        <w:t>附件</w:t>
      </w:r>
      <w:r>
        <w:rPr>
          <w:color w:val="auto"/>
          <w:highlight w:val="none"/>
        </w:rPr>
        <w:t>1</w:t>
      </w:r>
      <w:r>
        <w:rPr>
          <w:rFonts w:hint="eastAsia"/>
          <w:color w:val="auto"/>
          <w:highlight w:val="none"/>
        </w:rPr>
        <w:t xml:space="preserve"> 廉洁协议书</w:t>
      </w:r>
    </w:p>
    <w:p w14:paraId="7B9CDCC7">
      <w:pPr>
        <w:adjustRightInd w:val="0"/>
        <w:snapToGrid w:val="0"/>
        <w:spacing w:line="360" w:lineRule="auto"/>
        <w:ind w:firstLine="281" w:firstLineChars="100"/>
        <w:jc w:val="center"/>
        <w:rPr>
          <w:rFonts w:hint="eastAsia" w:ascii="宋体" w:hAnsi="宋体"/>
          <w:b/>
          <w:color w:val="auto"/>
          <w:sz w:val="28"/>
          <w:szCs w:val="21"/>
          <w:highlight w:val="none"/>
          <w:u w:val="single"/>
        </w:rPr>
      </w:pPr>
      <w:r>
        <w:rPr>
          <w:rFonts w:hint="eastAsia" w:ascii="宋体" w:hAnsi="宋体"/>
          <w:b/>
          <w:color w:val="auto"/>
          <w:sz w:val="28"/>
          <w:szCs w:val="21"/>
          <w:highlight w:val="none"/>
        </w:rPr>
        <w:t>廉洁协议书</w:t>
      </w:r>
    </w:p>
    <w:p w14:paraId="46B8B04D">
      <w:pPr>
        <w:adjustRightInd w:val="0"/>
        <w:snapToGrid w:val="0"/>
        <w:spacing w:line="360" w:lineRule="auto"/>
        <w:ind w:firstLine="425"/>
        <w:rPr>
          <w:rFonts w:hint="eastAsia" w:ascii="宋体" w:hAnsi="宋体"/>
          <w:color w:val="auto"/>
          <w:szCs w:val="21"/>
          <w:highlight w:val="none"/>
        </w:rPr>
      </w:pPr>
    </w:p>
    <w:p w14:paraId="2462482F">
      <w:pPr>
        <w:adjustRightInd w:val="0"/>
        <w:snapToGrid w:val="0"/>
        <w:spacing w:line="360" w:lineRule="auto"/>
        <w:ind w:firstLine="420" w:firstLineChars="200"/>
        <w:jc w:val="left"/>
        <w:rPr>
          <w:rFonts w:hint="eastAsia" w:ascii="宋体" w:hAnsi="宋体"/>
          <w:color w:val="auto"/>
          <w:szCs w:val="21"/>
          <w:highlight w:val="none"/>
          <w:u w:val="single"/>
        </w:rPr>
      </w:pPr>
      <w:r>
        <w:rPr>
          <w:rFonts w:hint="eastAsia" w:ascii="宋体" w:hAnsi="宋体"/>
          <w:color w:val="auto"/>
          <w:szCs w:val="21"/>
          <w:highlight w:val="none"/>
        </w:rPr>
        <w:t>为加强采购项目廉洁风险防控，促进购销双方规范履职，廉洁从业，有效实现采购目标，保护购销双方权益，根据国家有关法律法规和中央、省、市纪委廉洁建设有关规定，采购方（甲方）</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与供应方（乙方）</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就</w:t>
      </w:r>
      <w:r>
        <w:rPr>
          <w:rFonts w:hint="eastAsia" w:ascii="宋体" w:hAnsi="宋体"/>
          <w:color w:val="auto"/>
          <w:szCs w:val="21"/>
          <w:highlight w:val="none"/>
          <w:u w:val="single"/>
        </w:rPr>
        <w:t>《 广州工控大湾区现代高端装备研发生产基地项目（三期）宿舍家具采购项目相关服务合同 》</w:t>
      </w:r>
      <w:r>
        <w:rPr>
          <w:rFonts w:hint="eastAsia" w:ascii="宋体" w:hAnsi="宋体"/>
          <w:color w:val="auto"/>
          <w:szCs w:val="21"/>
          <w:highlight w:val="none"/>
        </w:rPr>
        <w:t>订立本廉洁协议书，以资双方共同遵照执行。</w:t>
      </w:r>
    </w:p>
    <w:p w14:paraId="6F525C09">
      <w:pPr>
        <w:adjustRightInd w:val="0"/>
        <w:snapToGrid w:val="0"/>
        <w:spacing w:line="360" w:lineRule="auto"/>
        <w:ind w:firstLine="422" w:firstLineChars="200"/>
        <w:jc w:val="left"/>
        <w:rPr>
          <w:rFonts w:hint="eastAsia" w:ascii="宋体" w:hAnsi="宋体"/>
          <w:color w:val="auto"/>
          <w:szCs w:val="21"/>
          <w:highlight w:val="none"/>
        </w:rPr>
      </w:pPr>
      <w:r>
        <w:rPr>
          <w:rFonts w:hint="eastAsia" w:ascii="宋体" w:hAnsi="宋体"/>
          <w:b/>
          <w:color w:val="auto"/>
          <w:szCs w:val="21"/>
          <w:highlight w:val="none"/>
        </w:rPr>
        <w:t>第一条  甲乙双方的权利和义务</w:t>
      </w:r>
    </w:p>
    <w:p w14:paraId="45DDCD73">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（一）严格遵守国家关于市场准入、招标投标、物资服务采购等市场经济活动的法律法规、政策以及廉洁自律的规定，做到合法经营。</w:t>
      </w:r>
    </w:p>
    <w:p w14:paraId="30F0E8FE">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（二）严格遵守招投标及采购相关法律法规及甲方关于招投标及采购的规定。前述合同签订后，双方严格执行合同文件，自觉履行合同约定的相关职责和义务。</w:t>
      </w:r>
    </w:p>
    <w:p w14:paraId="700A32C1">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三）业务活动必须坚持公平、公开、公正、诚信、守信的原则，不得就前述合同中的相关物料设备的型号、规格、质量、数量、价格和验收方式，以及服务标准、服务内容等合同条款进行私下商谈或者达成默契，不得为获取不正当利益达成私下协议，不得损害国家和集体利益。</w:t>
      </w:r>
    </w:p>
    <w:p w14:paraId="0AE3EDEC">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（四）建立健全廉洁制度，开展廉洁教育，公布举报电话及监督方式。</w:t>
      </w:r>
    </w:p>
    <w:p w14:paraId="43D52B9C">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（五）发现对方在业务活动中有违反廉洁规定的行为或严重违反合同义务条款的行为，应及时提醒对方纠正。情节严重的，应向其上级相关部门反映和举报，相关部门处理的结果应及时向对方通报。</w:t>
      </w:r>
    </w:p>
    <w:p w14:paraId="52B36BCA">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（六）不得与相关权利方和利益方勾肩搭背，内外勾结，在本采购项目实施过程中非法谋利。</w:t>
      </w:r>
    </w:p>
    <w:p w14:paraId="728581B8">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（七）不得通过说情、批示、打招呼、暗示或强迫命令等形式，干扰、妨碍正常业务活动。</w:t>
      </w:r>
    </w:p>
    <w:p w14:paraId="0F69C372">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（八）不得干扰、妨碍查处本采购项目中的违规违纪违法行为。</w:t>
      </w:r>
    </w:p>
    <w:p w14:paraId="27116204">
      <w:pPr>
        <w:adjustRightInd w:val="0"/>
        <w:snapToGrid w:val="0"/>
        <w:spacing w:line="360" w:lineRule="auto"/>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第二条  甲方的义务</w:t>
      </w:r>
    </w:p>
    <w:p w14:paraId="08CA9385">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甲方及甲方领导人员和从事本采购项目的工作人员（以下简称“甲方相关人员”），在项目实施的事前、事中和事后都须遵守以下规定：</w:t>
      </w:r>
    </w:p>
    <w:p w14:paraId="382F9857">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（一）甲方及甲方相关人员应按照公平、公正、公开和诚实守信的原则开展工作，为乙方提供公平的竞争环境与平台；</w:t>
      </w:r>
    </w:p>
    <w:p w14:paraId="3EE89076">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二）甲方相关人员不得索要或接受与本采购项目有利益关系的单位及个人的礼品、礼金、红包、有价证券、支付凭证、纪念品、高档办公用品、土特产、通讯和交通工具、不动产、住房装修，或者宴请、外出旅游、消费娱乐等非正当利益；不得参与任何形式的赌博并通过赌博方式收受乙方财物；不得在乙方报销任何应由甲方及其相关人员支付的费用；</w:t>
      </w:r>
    </w:p>
    <w:p w14:paraId="6D54D054">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三）甲方相关人员不得借本采购项目实施之机，为父母、配偶、子女及其他特定关系人谋取不正当利益；不得要求或接受乙方为其操办婚丧喜庆事宜提供方便；不得在乙方或与乙方有股权关联的企业兼职，不得向乙方介绍家属或者亲友从事与甲方业务有关的经济活动；</w:t>
      </w:r>
    </w:p>
    <w:p w14:paraId="611EF722">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四）甲方相关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14:paraId="6BF80D0A">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（五）甲方相关人员不得利用职务之便收受乙方以回扣、手续费、加班费、咨询费、劳务费、协调费、辛苦费等各种名义给予或赠送的钱物；不得接受乙方给予或赠送的干股或红利；</w:t>
      </w:r>
    </w:p>
    <w:p w14:paraId="5ADB7AC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（六）甲方相关人员不得安排其父母、配偶、子女及其他特定关系人从事与本采购项目相关的材料设备供应、分包、劳务等经济活动；</w:t>
      </w:r>
    </w:p>
    <w:p w14:paraId="4CD39F8E">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（七）甲方相关人员不得利用职权从事各种有偿中介活动，不得以任何理由向乙方指定材料、原料及服务供应商，不得要求乙方购买前述合同无关的材料和设备或者提供额外的服务内容；</w:t>
      </w:r>
    </w:p>
    <w:p w14:paraId="5A55329D">
      <w:pPr>
        <w:adjustRightInd w:val="0"/>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（八）甲方及甲方相关人员不得违反国家法律法规党内规章制度及甲方内部的其他禁止性规定。</w:t>
      </w:r>
    </w:p>
    <w:p w14:paraId="031043CF">
      <w:pPr>
        <w:adjustRightInd w:val="0"/>
        <w:snapToGrid w:val="0"/>
        <w:spacing w:line="360" w:lineRule="auto"/>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第三条  乙方的义务</w:t>
      </w:r>
    </w:p>
    <w:p w14:paraId="5550C7D5">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乙方及其领导人员和该采购项目的工作人员（以下简称“乙方相关人员”）应与甲方及甲方相关人员保持正常的业务往来，严格执行法律法规规定，按照规定程序开展业务工作，在采购项目实施的事前、事中和事后都须遵守以下规定：</w:t>
      </w:r>
    </w:p>
    <w:p w14:paraId="737C10E2">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（一）乙方及乙方相关人员不得在采购招投标或者磋商阶段以违反国家法律法规、党章党纪规定的方式获取不正当利益；</w:t>
      </w:r>
    </w:p>
    <w:p w14:paraId="273BE242">
      <w:pPr>
        <w:adjustRightInd w:val="0"/>
        <w:snapToGrid w:val="0"/>
        <w:spacing w:line="360" w:lineRule="auto"/>
        <w:ind w:firstLine="420"/>
        <w:rPr>
          <w:rFonts w:hint="eastAsia" w:ascii="宋体" w:hAnsi="宋体"/>
          <w:color w:val="auto"/>
          <w:szCs w:val="21"/>
          <w:highlight w:val="none"/>
        </w:rPr>
      </w:pPr>
      <w:r>
        <w:rPr>
          <w:rFonts w:hint="eastAsia" w:ascii="宋体" w:hAnsi="宋体"/>
          <w:color w:val="auto"/>
          <w:szCs w:val="21"/>
          <w:highlight w:val="none"/>
        </w:rPr>
        <w:t>（二）乙方相关人员不得以任何理由向甲方及甲方相关人员行贿或馈赠礼金、有价证券、贵重礼品；不得以任何理由安排甲方及甲方相关人员参加可能影响相关业务公平、公开、公正、公平性的宴请及娱乐活动；不得以任何名义为甲方及甲方相关人员报销应由甲方单位或个人支付的任何费用；</w:t>
      </w:r>
    </w:p>
    <w:p w14:paraId="3BAF15BF">
      <w:pPr>
        <w:adjustRightInd w:val="0"/>
        <w:snapToGrid w:val="0"/>
        <w:spacing w:line="360" w:lineRule="auto"/>
        <w:ind w:firstLine="420"/>
        <w:rPr>
          <w:rFonts w:hint="eastAsia" w:ascii="宋体" w:hAnsi="宋体"/>
          <w:color w:val="auto"/>
          <w:szCs w:val="21"/>
          <w:highlight w:val="none"/>
        </w:rPr>
      </w:pPr>
      <w:r>
        <w:rPr>
          <w:rFonts w:hint="eastAsia" w:ascii="宋体" w:hAnsi="宋体"/>
          <w:color w:val="auto"/>
          <w:szCs w:val="21"/>
          <w:highlight w:val="none"/>
        </w:rPr>
        <w:t>（三）乙方及乙方相关人员不得因前述合同履行向甲方、甲方相关人员及其亲属有输送利益的行为；</w:t>
      </w:r>
    </w:p>
    <w:p w14:paraId="23A0415D">
      <w:pPr>
        <w:adjustRightInd w:val="0"/>
        <w:snapToGrid w:val="0"/>
        <w:spacing w:line="360" w:lineRule="auto"/>
        <w:ind w:firstLine="420"/>
        <w:rPr>
          <w:rFonts w:hint="eastAsia" w:ascii="宋体" w:hAnsi="宋体"/>
          <w:color w:val="auto"/>
          <w:szCs w:val="21"/>
          <w:highlight w:val="none"/>
        </w:rPr>
      </w:pPr>
      <w:r>
        <w:rPr>
          <w:rFonts w:hint="eastAsia" w:ascii="宋体" w:hAnsi="宋体"/>
          <w:color w:val="auto"/>
          <w:szCs w:val="21"/>
          <w:highlight w:val="none"/>
        </w:rPr>
        <w:t>（四）乙方及乙方相关人员不得为甲方、甲方相关人员及其亲属个人购置或提供通讯工具和高档办公用品等物品，也不得为甲方相关人员提供与工作无关的不动产、交通工具等；</w:t>
      </w:r>
    </w:p>
    <w:p w14:paraId="638CF671">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（五）乙方及乙方相关人员不得以回扣、手续费、加班费、咨询费、劳务费、协调费、辛苦费等各种名义向甲方及甲方相关人员给予或赠送钱物；不得向甲方及甲方相关人员提供干股或红利；</w:t>
      </w:r>
    </w:p>
    <w:p w14:paraId="3140DA58">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（六）乙方及乙方相关人员不得以谋取非正当利益为目的，擅自与甲方或甲方相关人员就与本采购项目有关的业务问题进行私下商谈或者达成利益默契；</w:t>
      </w:r>
    </w:p>
    <w:p w14:paraId="79F646FA">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（七）乙方及乙方相关人员不得违反国家法律法规及党内规章制度的其他禁止性规定；</w:t>
      </w:r>
    </w:p>
    <w:p w14:paraId="52A2DED2">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（八）乙方或乙方相关人员发现甲方相关人员有违反本廉洁协议书规定的，应向甲方举报。</w:t>
      </w:r>
    </w:p>
    <w:p w14:paraId="5D133171">
      <w:pPr>
        <w:adjustRightInd w:val="0"/>
        <w:snapToGrid w:val="0"/>
        <w:spacing w:line="360" w:lineRule="auto"/>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第四条  违约责任</w:t>
      </w:r>
    </w:p>
    <w:p w14:paraId="31976C64">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（一）甲方及甲方相关人员违反本廉洁协议书第一、二条，按管理权限，依据有关规定给予党纪、政纪或组织处理；涉嫌犯罪的，移交司法机关追究刑事责任；给乙方造成经济损失的，应予以赔偿。</w:t>
      </w:r>
    </w:p>
    <w:p w14:paraId="02225D80">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（二）乙方及乙方相关人员违反本廉洁协议书第一、三条:</w:t>
      </w:r>
    </w:p>
    <w:p w14:paraId="20AE32B7">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（1）通过不正当手段中标或者签订合同的，依据国家和甲方有关规定给予处理，甲方有权取消中标资格或解除合同，并追究乙方相应责任； </w:t>
      </w:r>
    </w:p>
    <w:p w14:paraId="356402C8">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（2）应全额返还用不正当手段获取的非法所得；</w:t>
      </w:r>
    </w:p>
    <w:p w14:paraId="7B042CD2">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（3）给甲方造成经济损失的，乙方应予以赔偿；</w:t>
      </w:r>
    </w:p>
    <w:p w14:paraId="43F4DD37">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（4）甲方有权扣除乙方依据前述合同支付的全部履约保函的金额,如未提交履约保函，甲方有权要求乙方支付该合同总金额20%作为违约金处罚；</w:t>
      </w:r>
    </w:p>
    <w:p w14:paraId="4FFA15A7">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5</w:t>
      </w:r>
      <w:r>
        <w:rPr>
          <w:rFonts w:hint="eastAsia" w:ascii="宋体" w:hAnsi="宋体"/>
          <w:color w:val="auto"/>
          <w:szCs w:val="21"/>
          <w:highlight w:val="none"/>
        </w:rPr>
        <w:t>）乙方将被甲方列入企业“黑名单”，禁止进入甲方企业（含下属公司）从事经营活动；情节严重的，甲方可以将相关情况通报乙方的行政主管部门或行业协会；构成犯罪的，移交司法机关追究法律责任。</w:t>
      </w:r>
    </w:p>
    <w:p w14:paraId="08D0FA61">
      <w:pPr>
        <w:adjustRightInd w:val="0"/>
        <w:snapToGrid w:val="0"/>
        <w:spacing w:line="360" w:lineRule="auto"/>
        <w:ind w:firstLine="422" w:firstLineChars="200"/>
        <w:rPr>
          <w:rFonts w:hint="eastAsia" w:ascii="宋体" w:hAnsi="宋体"/>
          <w:color w:val="auto"/>
          <w:szCs w:val="21"/>
          <w:highlight w:val="none"/>
        </w:rPr>
      </w:pPr>
      <w:r>
        <w:rPr>
          <w:rFonts w:hint="eastAsia" w:ascii="宋体" w:hAnsi="宋体"/>
          <w:b/>
          <w:color w:val="auto"/>
          <w:szCs w:val="21"/>
          <w:highlight w:val="none"/>
        </w:rPr>
        <w:t>第五条</w:t>
      </w:r>
      <w:r>
        <w:rPr>
          <w:rFonts w:hint="eastAsia" w:ascii="宋体" w:hAnsi="宋体"/>
          <w:color w:val="auto"/>
          <w:szCs w:val="21"/>
          <w:highlight w:val="none"/>
        </w:rPr>
        <w:t xml:space="preserve">  本廉洁协议书由双方或双方上级单位负责监督。甲乙双方或双方上级单位可以对本廉洁协议书履行情况进行检查。</w:t>
      </w:r>
    </w:p>
    <w:p w14:paraId="2635478C">
      <w:pPr>
        <w:adjustRightInd w:val="0"/>
        <w:snapToGrid w:val="0"/>
        <w:spacing w:line="360" w:lineRule="auto"/>
        <w:ind w:firstLine="411" w:firstLineChars="195"/>
        <w:rPr>
          <w:rFonts w:hint="eastAsia" w:ascii="宋体" w:hAnsi="宋体"/>
          <w:color w:val="auto"/>
          <w:szCs w:val="21"/>
          <w:highlight w:val="none"/>
        </w:rPr>
      </w:pPr>
      <w:r>
        <w:rPr>
          <w:rFonts w:hint="eastAsia" w:ascii="宋体" w:hAnsi="宋体"/>
          <w:b/>
          <w:color w:val="auto"/>
          <w:szCs w:val="21"/>
          <w:highlight w:val="none"/>
        </w:rPr>
        <w:t>第六条</w:t>
      </w:r>
      <w:r>
        <w:rPr>
          <w:rFonts w:hint="eastAsia" w:ascii="宋体" w:hAnsi="宋体"/>
          <w:color w:val="auto"/>
          <w:szCs w:val="21"/>
          <w:highlight w:val="none"/>
        </w:rPr>
        <w:t xml:space="preserve">  本协议作为前述合同的附件，并具有同等的法律效力，经合同双方签署立即生效。</w:t>
      </w:r>
    </w:p>
    <w:p w14:paraId="6AE3BE11">
      <w:pPr>
        <w:adjustRightInd w:val="0"/>
        <w:snapToGrid w:val="0"/>
        <w:spacing w:line="360" w:lineRule="auto"/>
        <w:ind w:firstLine="411" w:firstLineChars="195"/>
        <w:rPr>
          <w:rFonts w:hint="eastAsia" w:ascii="宋体" w:hAnsi="宋体"/>
          <w:color w:val="auto"/>
          <w:szCs w:val="21"/>
          <w:highlight w:val="none"/>
        </w:rPr>
      </w:pPr>
      <w:r>
        <w:rPr>
          <w:rFonts w:hint="eastAsia" w:ascii="宋体" w:hAnsi="宋体"/>
          <w:b/>
          <w:color w:val="auto"/>
          <w:szCs w:val="21"/>
          <w:highlight w:val="none"/>
        </w:rPr>
        <w:t>第七条</w:t>
      </w:r>
      <w:r>
        <w:rPr>
          <w:rFonts w:hint="eastAsia" w:ascii="宋体" w:hAnsi="宋体"/>
          <w:color w:val="auto"/>
          <w:szCs w:val="21"/>
          <w:highlight w:val="none"/>
        </w:rPr>
        <w:t xml:space="preserve">  本协议一式两份，由甲乙双方各执一份。</w:t>
      </w:r>
    </w:p>
    <w:p w14:paraId="48948755">
      <w:pPr>
        <w:adjustRightInd w:val="0"/>
        <w:snapToGrid w:val="0"/>
        <w:spacing w:line="360" w:lineRule="auto"/>
        <w:ind w:firstLine="480"/>
        <w:rPr>
          <w:rFonts w:hint="eastAsia" w:ascii="宋体" w:hAnsi="宋体"/>
          <w:color w:val="auto"/>
          <w:szCs w:val="21"/>
          <w:highlight w:val="none"/>
        </w:rPr>
      </w:pPr>
    </w:p>
    <w:p w14:paraId="0C0008D4">
      <w:pPr>
        <w:adjustRightInd w:val="0"/>
        <w:snapToGrid w:val="0"/>
        <w:spacing w:line="360" w:lineRule="auto"/>
        <w:ind w:firstLine="480"/>
        <w:rPr>
          <w:rFonts w:hint="eastAsia" w:ascii="宋体" w:hAnsi="宋体"/>
          <w:b/>
          <w:color w:val="auto"/>
          <w:szCs w:val="21"/>
          <w:highlight w:val="none"/>
        </w:rPr>
      </w:pPr>
      <w:r>
        <w:rPr>
          <w:rFonts w:ascii="宋体" w:hAnsi="宋体"/>
          <w:b/>
          <w:color w:val="auto"/>
          <w:szCs w:val="21"/>
          <w:highlight w:val="none"/>
        </w:rPr>
        <w:t>甲乙双方确认在签订本廉洁协议书前已仔细阅读条款内容，甲乙双方对本廉洁协议书所产生的法律责任已清楚知悉并承诺遵守。</w:t>
      </w:r>
    </w:p>
    <w:p w14:paraId="7E62D917">
      <w:pPr>
        <w:adjustRightInd w:val="0"/>
        <w:snapToGrid w:val="0"/>
        <w:spacing w:line="360" w:lineRule="auto"/>
        <w:rPr>
          <w:rFonts w:hint="eastAsia" w:ascii="宋体" w:hAnsi="宋体"/>
          <w:color w:val="auto"/>
          <w:szCs w:val="21"/>
          <w:highlight w:val="none"/>
        </w:rPr>
      </w:pPr>
    </w:p>
    <w:p w14:paraId="04EF3610">
      <w:pPr>
        <w:adjustRightInd w:val="0"/>
        <w:snapToGrid w:val="0"/>
        <w:spacing w:line="360" w:lineRule="auto"/>
        <w:ind w:left="5563" w:leftChars="-151" w:hanging="5880" w:hangingChars="2800"/>
        <w:rPr>
          <w:rFonts w:hint="eastAsia" w:ascii="宋体" w:hAnsi="宋体"/>
          <w:color w:val="auto"/>
          <w:szCs w:val="21"/>
          <w:highlight w:val="none"/>
        </w:rPr>
      </w:pPr>
      <w:r>
        <w:rPr>
          <w:rFonts w:hint="eastAsia" w:ascii="宋体" w:hAnsi="宋体"/>
          <w:color w:val="auto"/>
          <w:szCs w:val="21"/>
          <w:highlight w:val="none"/>
        </w:rPr>
        <w:t xml:space="preserve">    甲方（盖章）：                        乙方（盖章）：   </w:t>
      </w:r>
    </w:p>
    <w:p w14:paraId="00DF9056">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法定代表人（签字）：                  法定代表人（签字）：</w:t>
      </w:r>
    </w:p>
    <w:p w14:paraId="415C04FE">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（或）授权代表（签字）：              （或）授权代表（签字）：</w:t>
      </w:r>
    </w:p>
    <w:p w14:paraId="0138FD42">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 xml:space="preserve"> 签订日期：                           签订日期：</w:t>
      </w:r>
    </w:p>
    <w:p w14:paraId="6E4C9BD0">
      <w:pPr>
        <w:widowControl/>
        <w:snapToGrid w:val="0"/>
        <w:spacing w:line="360" w:lineRule="auto"/>
        <w:jc w:val="left"/>
        <w:rPr>
          <w:rFonts w:hint="eastAsia" w:ascii="宋体" w:hAnsi="宋体"/>
          <w:color w:val="auto"/>
          <w:szCs w:val="21"/>
          <w:highlight w:val="none"/>
        </w:rPr>
      </w:pPr>
      <w:r>
        <w:rPr>
          <w:rFonts w:ascii="宋体" w:hAnsi="宋体"/>
          <w:color w:val="auto"/>
          <w:szCs w:val="21"/>
          <w:highlight w:val="none"/>
        </w:rPr>
        <w:br w:type="page"/>
      </w:r>
    </w:p>
    <w:p w14:paraId="69DC7E79">
      <w:pPr>
        <w:pStyle w:val="4"/>
        <w:rPr>
          <w:rFonts w:hint="eastAsia"/>
          <w:color w:val="auto"/>
          <w:highlight w:val="none"/>
        </w:rPr>
      </w:pPr>
      <w:r>
        <w:rPr>
          <w:rFonts w:hint="eastAsia"/>
          <w:color w:val="auto"/>
          <w:highlight w:val="none"/>
        </w:rPr>
        <w:t>附件</w:t>
      </w:r>
      <w:r>
        <w:rPr>
          <w:color w:val="auto"/>
          <w:highlight w:val="none"/>
        </w:rPr>
        <w:t>3</w:t>
      </w:r>
      <w:r>
        <w:rPr>
          <w:rFonts w:hint="eastAsia"/>
          <w:color w:val="auto"/>
          <w:highlight w:val="none"/>
        </w:rPr>
        <w:t xml:space="preserve"> 安全责任合同</w:t>
      </w:r>
    </w:p>
    <w:p w14:paraId="3A628417">
      <w:pPr>
        <w:adjustRightInd w:val="0"/>
        <w:snapToGrid w:val="0"/>
        <w:spacing w:line="360" w:lineRule="auto"/>
        <w:ind w:firstLine="281" w:firstLineChars="100"/>
        <w:jc w:val="center"/>
        <w:rPr>
          <w:rFonts w:hint="eastAsia" w:ascii="宋体" w:hAnsi="宋体"/>
          <w:b/>
          <w:color w:val="auto"/>
          <w:sz w:val="28"/>
          <w:szCs w:val="21"/>
          <w:highlight w:val="none"/>
        </w:rPr>
      </w:pPr>
      <w:r>
        <w:rPr>
          <w:rFonts w:hint="eastAsia" w:ascii="宋体" w:hAnsi="宋体"/>
          <w:b/>
          <w:color w:val="auto"/>
          <w:sz w:val="28"/>
          <w:szCs w:val="21"/>
          <w:highlight w:val="none"/>
        </w:rPr>
        <w:t>安全责任合同</w:t>
      </w:r>
    </w:p>
    <w:p w14:paraId="78A7440C">
      <w:pPr>
        <w:adjustRightInd w:val="0"/>
        <w:snapToGrid w:val="0"/>
        <w:spacing w:line="360" w:lineRule="auto"/>
        <w:rPr>
          <w:rFonts w:hint="eastAsia" w:ascii="宋体" w:hAnsi="宋体"/>
          <w:color w:val="auto"/>
          <w:szCs w:val="21"/>
          <w:highlight w:val="none"/>
        </w:rPr>
      </w:pPr>
      <w:r>
        <w:rPr>
          <w:rFonts w:hint="eastAsia" w:ascii="宋体" w:hAnsi="宋体"/>
          <w:color w:val="auto"/>
          <w:szCs w:val="21"/>
          <w:highlight w:val="none"/>
        </w:rPr>
        <w:t>甲方：</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p>
    <w:p w14:paraId="4C344121">
      <w:pPr>
        <w:snapToGrid w:val="0"/>
        <w:spacing w:line="360" w:lineRule="auto"/>
        <w:rPr>
          <w:rFonts w:hint="eastAsia" w:ascii="宋体" w:hAnsi="宋体"/>
          <w:color w:val="auto"/>
          <w:szCs w:val="21"/>
          <w:highlight w:val="none"/>
        </w:rPr>
      </w:pPr>
      <w:r>
        <w:rPr>
          <w:rFonts w:hint="eastAsia" w:ascii="宋体" w:hAnsi="宋体"/>
          <w:color w:val="auto"/>
          <w:szCs w:val="21"/>
          <w:highlight w:val="none"/>
        </w:rPr>
        <w:t>乙方：</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p>
    <w:p w14:paraId="266EE6E4">
      <w:pPr>
        <w:snapToGrid w:val="0"/>
        <w:spacing w:line="360" w:lineRule="auto"/>
        <w:ind w:firstLine="567" w:firstLineChars="270"/>
        <w:rPr>
          <w:rFonts w:hint="eastAsia" w:ascii="宋体" w:hAnsi="宋体" w:cs="宋体"/>
          <w:color w:val="auto"/>
          <w:szCs w:val="21"/>
          <w:highlight w:val="none"/>
        </w:rPr>
      </w:pPr>
      <w:r>
        <w:rPr>
          <w:rFonts w:hint="eastAsia" w:ascii="宋体" w:hAnsi="宋体" w:cs="宋体"/>
          <w:color w:val="auto"/>
          <w:szCs w:val="21"/>
          <w:highlight w:val="none"/>
        </w:rPr>
        <w:t>为了增强甲乙双方的责任感，切实加强项目作业的安全管理，明确项目作业的安全管理责任，维护甲乙双方的利益，落实“各负其责，各施其职”的原则，确保项目作业的安全生产秩序能够顺利进行，根据《中华人民共和国安全生产法》、《中华人民共和国消防法》、《中华人民共和国环境保护法》、《中华人民共和国职业病防治法》、《中华人民共和国劳动法》、《中华人民共和国建筑法》、《中华人民共和国合同法》以及国务院《建设工程安全生产管理条例》、建设部《施工现场临时用电安全技术规范》（</w:t>
      </w:r>
      <w:r>
        <w:rPr>
          <w:rFonts w:ascii="宋体" w:hAnsi="宋体" w:cs="宋体"/>
          <w:color w:val="auto"/>
          <w:szCs w:val="21"/>
          <w:highlight w:val="none"/>
        </w:rPr>
        <w:t>JGJ46-2005</w:t>
      </w:r>
      <w:r>
        <w:rPr>
          <w:rFonts w:hint="eastAsia" w:ascii="宋体" w:hAnsi="宋体" w:cs="宋体"/>
          <w:color w:val="auto"/>
          <w:szCs w:val="21"/>
          <w:highlight w:val="none"/>
        </w:rPr>
        <w:t>）、《建筑施工安全检查标准》（</w:t>
      </w:r>
      <w:r>
        <w:rPr>
          <w:rFonts w:ascii="宋体" w:hAnsi="宋体" w:cs="宋体"/>
          <w:color w:val="auto"/>
          <w:szCs w:val="21"/>
          <w:highlight w:val="none"/>
        </w:rPr>
        <w:t>JGJ59-2011</w:t>
      </w:r>
      <w:r>
        <w:rPr>
          <w:rFonts w:hint="eastAsia" w:ascii="宋体" w:hAnsi="宋体" w:cs="宋体"/>
          <w:color w:val="auto"/>
          <w:szCs w:val="21"/>
          <w:highlight w:val="none"/>
        </w:rPr>
        <w:t>）等国家有关法律、法规，经双方充分协商，特订立本安全责任合同，以便共同遵守。</w:t>
      </w:r>
    </w:p>
    <w:p w14:paraId="2EB839D8">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一、本合同为</w:t>
      </w:r>
      <w:r>
        <w:rPr>
          <w:rFonts w:hint="eastAsia" w:ascii="宋体" w:hAnsi="宋体"/>
          <w:color w:val="auto"/>
          <w:szCs w:val="21"/>
          <w:highlight w:val="none"/>
          <w:u w:val="single"/>
        </w:rPr>
        <w:t>《 广州工控大湾区现代高端装备研发生产基地项目（三期）宿舍家具采购项目相关服务合同 》</w:t>
      </w:r>
      <w:r>
        <w:rPr>
          <w:rFonts w:hint="eastAsia" w:ascii="宋体" w:hAnsi="宋体"/>
          <w:color w:val="auto"/>
          <w:szCs w:val="21"/>
          <w:highlight w:val="none"/>
        </w:rPr>
        <w:t>项目经济合同的从合同。</w:t>
      </w:r>
    </w:p>
    <w:p w14:paraId="5A907C0F">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二、项目经济合同编号：</w:t>
      </w:r>
      <w:r>
        <w:rPr>
          <w:rFonts w:ascii="宋体" w:hAnsi="宋体"/>
          <w:color w:val="auto"/>
          <w:szCs w:val="21"/>
          <w:highlight w:val="none"/>
          <w:u w:val="single"/>
        </w:rPr>
        <w:t xml:space="preserve">              </w:t>
      </w:r>
    </w:p>
    <w:p w14:paraId="6650F194">
      <w:pPr>
        <w:snapToGrid w:val="0"/>
        <w:spacing w:line="360" w:lineRule="auto"/>
        <w:ind w:firstLine="840" w:firstLineChars="400"/>
        <w:rPr>
          <w:rFonts w:hint="eastAsia" w:ascii="宋体" w:hAnsi="宋体"/>
          <w:color w:val="auto"/>
          <w:szCs w:val="21"/>
          <w:highlight w:val="none"/>
        </w:rPr>
      </w:pPr>
      <w:r>
        <w:rPr>
          <w:rFonts w:hint="eastAsia" w:ascii="宋体" w:hAnsi="宋体"/>
          <w:color w:val="auto"/>
          <w:szCs w:val="21"/>
          <w:highlight w:val="none"/>
        </w:rPr>
        <w:t>项目作业期限：</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u w:val="single"/>
        </w:rPr>
        <w:t xml:space="preserve">    </w:t>
      </w:r>
      <w:r>
        <w:rPr>
          <w:rFonts w:hint="eastAsia" w:ascii="宋体" w:hAnsi="宋体"/>
          <w:color w:val="auto"/>
          <w:szCs w:val="21"/>
          <w:highlight w:val="none"/>
        </w:rPr>
        <w:t>日至</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日止。</w:t>
      </w:r>
    </w:p>
    <w:p w14:paraId="2CFA0FE8">
      <w:pPr>
        <w:snapToGrid w:val="0"/>
        <w:spacing w:line="360" w:lineRule="auto"/>
        <w:ind w:firstLine="840" w:firstLineChars="400"/>
        <w:rPr>
          <w:rFonts w:hint="eastAsia" w:ascii="宋体" w:hAnsi="宋体"/>
          <w:color w:val="auto"/>
          <w:szCs w:val="21"/>
          <w:highlight w:val="none"/>
        </w:rPr>
      </w:pPr>
      <w:r>
        <w:rPr>
          <w:rFonts w:hint="eastAsia" w:ascii="宋体" w:hAnsi="宋体"/>
          <w:color w:val="auto"/>
          <w:szCs w:val="21"/>
          <w:highlight w:val="none"/>
        </w:rPr>
        <w:t>作业范围（内容或地点）：</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p>
    <w:p w14:paraId="3A35C8CC">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三、合同签订前乙方必须向甲方提供有效的法人资格和符合国家法律规定或行业标准的安全资质等相关证书。</w:t>
      </w:r>
    </w:p>
    <w:p w14:paraId="3170154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四、乙方委派的参加实施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人员，经过专业培训，获得相应专业特种资格证后，方准持证上岗。严禁委派未经专门培训、没有取得特种资格证的人员从事特种作业。实施现场如出现特种作业无证操作现象时，必须立即停止作业。乙方如使用特种设备，必须具有有效的准用证件才能实施。</w:t>
      </w:r>
    </w:p>
    <w:p w14:paraId="48A47AB3">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五、甲方承诺把项目发包给乙方作业，明确款项、质量、期限的同时，乙方承诺对本单位聘用的作业人员在作业过程中的安全负全部责任。该责任既包括对员工的安全教育管理，也包括对安全事故的处理赔偿。</w:t>
      </w:r>
    </w:p>
    <w:p w14:paraId="54B993D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六、乙方作业人员的工资、劳动保护用品、社会工伤保险等由乙方支付和购买。如乙方违反本条规定，甲方有权暂扣相应的合同款项作为乙方履约保证金。</w:t>
      </w:r>
    </w:p>
    <w:p w14:paraId="25A2F5E8">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七、乙方必须设立项目安全负责人，指定专人负责日常安全管理工作，监管作业安全。涉及到乙方对项目的日常管理不到位或违章作业行为，甲方有权依照有关安全生产法规和甲方的“安全规章制度”作出警告和处罚，严重的作出停工整顿处理直至验收合格为止，因此造成的一切损失由乙方负责。</w:t>
      </w:r>
    </w:p>
    <w:p w14:paraId="47A1D8DD">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八、在项目实施过程中，因乙方安全管理不善或者乙方实施人员违章实施、故意或重大过失造成人员伤亡的，由乙方承担赔偿责任。若甲方先行垫付的，有权向乙方全额追偿。由于第三人导致乙方人员伤亡的，由第三人承担赔偿责任，甲方不承担责任。</w:t>
      </w:r>
    </w:p>
    <w:p w14:paraId="1ACBA4B8">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九、乙方作业人员在项目作业过程中，若发生伤亡事故，必须及时知会甲方，并按《生产安全事故报告和调查处理条例》（国务院令第</w:t>
      </w:r>
      <w:r>
        <w:rPr>
          <w:rFonts w:ascii="宋体" w:hAnsi="宋体"/>
          <w:color w:val="auto"/>
          <w:szCs w:val="21"/>
          <w:highlight w:val="none"/>
        </w:rPr>
        <w:t>493</w:t>
      </w:r>
      <w:r>
        <w:rPr>
          <w:rFonts w:hint="eastAsia" w:ascii="宋体" w:hAnsi="宋体"/>
          <w:color w:val="auto"/>
          <w:szCs w:val="21"/>
          <w:highlight w:val="none"/>
        </w:rPr>
        <w:t>号）的程序向属地安监主管部门报告，还应立即通知当地政府、公安部门、人民检察院，并要求派人保护现场。</w:t>
      </w:r>
    </w:p>
    <w:p w14:paraId="44C0A973">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十、甲方安全职责</w:t>
      </w:r>
    </w:p>
    <w:p w14:paraId="6DE2A788">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一）进场作业前需向乙方项目责任人进行项目安全注意事项书面交底，提出安全管理书面要求，甲方的“安全规章制度”及与该项目有关联的安全注意事项，并应有完备的交底资料记录，双方负责人共同签字确认。</w:t>
      </w:r>
    </w:p>
    <w:p w14:paraId="072CB298">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（二）指定专人负责监管该项目的安全工作，并配合乙方解决因甲方因素而影响安全实施的问题。</w:t>
      </w:r>
    </w:p>
    <w:p w14:paraId="3FB1C214">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（三）为乙方提供符合安全的作业环境，提供作业方便，并配合乙方解决因甲方因素而影响安全作业的问题。</w:t>
      </w:r>
    </w:p>
    <w:p w14:paraId="276B483F">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（四）在有毒有害、易燃易爆、带电运行、机械转动及危化区域内实施时，甲方应当协助乙方制定安全措施并监督实施。</w:t>
      </w:r>
    </w:p>
    <w:p w14:paraId="60C146AA">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（五）监督检查乙方的安全实施作业情况，对违法乱纪现象按甲方单位安全检查考核细则规定进行违规执罚。因乙方严重违规实施作业而影响甲方正常生产时，有权停止其实施作业至整改验收合格为止。</w:t>
      </w:r>
    </w:p>
    <w:p w14:paraId="162EC96E">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十一、乙方安全职责</w:t>
      </w:r>
    </w:p>
    <w:p w14:paraId="1D581BBD">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（一）建立、健全自身劳动安全卫生制度，严格执行国家劳动安全卫生规程和标准，落实对每个作业人员进行劳动安全卫生、实施安全注意事项等方面的安全教育，并经其本人签名确认后才允许上岗。</w:t>
      </w:r>
    </w:p>
    <w:p w14:paraId="3A639F56">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（二）为作业人员提供符合国家规定的劳动安全卫生条件和必要劳动保护用品。</w:t>
      </w:r>
    </w:p>
    <w:p w14:paraId="396620F6">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（三）严格遵守安全生产规章制度，自觉接受甲方单位的安全监督、管理和指导，做好安全、文明实施作业。</w:t>
      </w:r>
    </w:p>
    <w:p w14:paraId="56ED4B13">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（四）制定作业安全措施，并严格落实执行，在确保作业人员安全与健康的前提下才可组织实施。需要使用甲方的水、电、气等设备设施，必须经甲方同意，并对设备设施的使用过程承担安全责任。</w:t>
      </w:r>
    </w:p>
    <w:p w14:paraId="087B917F">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（五）教育和监管所属作业人员在未经甲方同意的情况下，严禁随意进入与作业无关的区域，严禁触摸、启动与作业无关的设备设施，否则由此引起的事故由乙方负责全部责任。</w:t>
      </w:r>
    </w:p>
    <w:p w14:paraId="78439D51">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（六）因乙方原因造成安全责任事故的，乙方除自行承担相应的安全赔偿责任外，对甲方遭受的损失，乙方应当全部赔偿。如造成工期延误的，仍需承担违约责任。</w:t>
      </w:r>
    </w:p>
    <w:p w14:paraId="42BC208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（七）在实施前，乙方应向甲方提供实施现场《生产安全事故应急救援预案》，向甲方提供特种作业人员花名册、操作证复印件和培训记录。</w:t>
      </w:r>
    </w:p>
    <w:p w14:paraId="7884043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十二、实施安全保证金</w:t>
      </w:r>
    </w:p>
    <w:p w14:paraId="1EF44547">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甲方预留合同结算价</w:t>
      </w:r>
      <w:r>
        <w:rPr>
          <w:rFonts w:hint="eastAsia" w:ascii="宋体" w:hAnsi="宋体" w:cs="宋体"/>
          <w:color w:val="auto"/>
          <w:kern w:val="0"/>
          <w:szCs w:val="21"/>
          <w:highlight w:val="none"/>
        </w:rPr>
        <w:t>的5%</w:t>
      </w:r>
      <w:r>
        <w:rPr>
          <w:rFonts w:ascii="宋体" w:hAnsi="宋体"/>
          <w:color w:val="auto"/>
          <w:szCs w:val="21"/>
          <w:highlight w:val="none"/>
        </w:rPr>
        <w:t>作为乙方的安全保证金，于项目验收后将该保证金余额退还乙方；若实施过程中发生下列有乙方责任的安全事故，扣除相应数额的安全保证金归甲方：</w:t>
      </w:r>
    </w:p>
    <w:p w14:paraId="7315A26F">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1、发生人身死亡事故、设备重大事故，扣除</w:t>
      </w:r>
      <w:r>
        <w:rPr>
          <w:rFonts w:hint="eastAsia" w:ascii="宋体" w:hAnsi="宋体"/>
          <w:color w:val="auto"/>
          <w:szCs w:val="21"/>
          <w:highlight w:val="none"/>
          <w:lang w:val="en-US" w:eastAsia="zh-CN"/>
        </w:rPr>
        <w:t>100%</w:t>
      </w:r>
      <w:r>
        <w:rPr>
          <w:rFonts w:ascii="宋体" w:hAnsi="宋体"/>
          <w:color w:val="auto"/>
          <w:szCs w:val="21"/>
          <w:highlight w:val="none"/>
        </w:rPr>
        <w:t>安全保证金；</w:t>
      </w:r>
    </w:p>
    <w:p w14:paraId="64A1B585">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2、发生人身重伤事故、设备事故，扣除</w:t>
      </w:r>
      <w:r>
        <w:rPr>
          <w:rFonts w:hint="eastAsia" w:ascii="宋体" w:hAnsi="宋体"/>
          <w:color w:val="auto"/>
          <w:szCs w:val="21"/>
          <w:highlight w:val="none"/>
        </w:rPr>
        <w:t xml:space="preserve"> </w:t>
      </w:r>
      <w:r>
        <w:rPr>
          <w:rFonts w:ascii="宋体" w:hAnsi="宋体"/>
          <w:color w:val="auto"/>
          <w:szCs w:val="21"/>
          <w:highlight w:val="none"/>
        </w:rPr>
        <w:t>100</w:t>
      </w:r>
      <w:r>
        <w:rPr>
          <w:rFonts w:hint="eastAsia" w:ascii="宋体" w:hAnsi="宋体"/>
          <w:color w:val="auto"/>
          <w:szCs w:val="21"/>
          <w:highlight w:val="none"/>
        </w:rPr>
        <w:t xml:space="preserve"> </w:t>
      </w:r>
      <w:r>
        <w:rPr>
          <w:rFonts w:ascii="宋体" w:hAnsi="宋体"/>
          <w:color w:val="auto"/>
          <w:szCs w:val="21"/>
          <w:highlight w:val="none"/>
        </w:rPr>
        <w:t>%安全保证金。</w:t>
      </w:r>
    </w:p>
    <w:p w14:paraId="129CF63E">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十三、违约责任</w:t>
      </w:r>
    </w:p>
    <w:p w14:paraId="74E658AD">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、由于甲方或乙方责任造成对方或第三方的人身伤害、设备损坏等财产损失，由责任方承担相应责任，并赔偿对方或第三方因此造成的全部损失。</w:t>
      </w:r>
    </w:p>
    <w:p w14:paraId="6614A3BB">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、合同履行中，发现乙方提供的有关资质证书材料无效，甲方有权解除主合同和本从合同，乙方应当承担由此造成的一切损失。</w:t>
      </w:r>
    </w:p>
    <w:p w14:paraId="19B4D074">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、发现乙方现场作业人员有违章行为的，甲方有权参照甲方对本单位员工有关安全生产奖惩规定对违规操作行为进行扣款，乙方应当承担罚款或相应的违约金。</w:t>
      </w:r>
    </w:p>
    <w:p w14:paraId="50AA03DD">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乙方未设置安监人员，未能正确、全面执行安全技术措施、实施组织设计；实施人员未掌握本项目特点及实施安全措施；用于本项目项目的实施机械、工器具及安全防护用品不满足实施需要，甲方有权要求乙方立即停工整改，由此引起的后果及损失由乙方自行承担。</w:t>
      </w:r>
    </w:p>
    <w:p w14:paraId="179E0B58">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5</w:t>
      </w:r>
      <w:r>
        <w:rPr>
          <w:rFonts w:hint="eastAsia" w:ascii="宋体" w:hAnsi="宋体"/>
          <w:color w:val="auto"/>
          <w:szCs w:val="21"/>
          <w:highlight w:val="none"/>
        </w:rPr>
        <w:t>、乙方人员安全工作规程抽考不合格，乙方应承担</w:t>
      </w:r>
      <w:r>
        <w:rPr>
          <w:rFonts w:ascii="宋体" w:hAnsi="宋体"/>
          <w:color w:val="auto"/>
          <w:szCs w:val="21"/>
          <w:highlight w:val="none"/>
        </w:rPr>
        <w:t>50</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人次的违约责任；特种人员无证上岗乙方应承担</w:t>
      </w:r>
      <w:r>
        <w:rPr>
          <w:rFonts w:ascii="宋体" w:hAnsi="宋体"/>
          <w:color w:val="auto"/>
          <w:szCs w:val="21"/>
          <w:highlight w:val="none"/>
        </w:rPr>
        <w:t>100</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人日的违约责任。</w:t>
      </w:r>
    </w:p>
    <w:p w14:paraId="3D3C20CD">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6</w:t>
      </w:r>
      <w:r>
        <w:rPr>
          <w:rFonts w:hint="eastAsia" w:ascii="宋体" w:hAnsi="宋体"/>
          <w:color w:val="auto"/>
          <w:szCs w:val="21"/>
          <w:highlight w:val="none"/>
        </w:rPr>
        <w:t>、乙方使用甲方提供的设施设备、工器具等造成损坏的，应根据损坏的程度，进行修理、更换、折算市场价赔偿，如修理后造成设备、工器具贬值的应当另行赔偿损失。</w:t>
      </w:r>
    </w:p>
    <w:p w14:paraId="07A97AFF">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7</w:t>
      </w:r>
      <w:r>
        <w:rPr>
          <w:rFonts w:hint="eastAsia" w:ascii="宋体" w:hAnsi="宋体"/>
          <w:color w:val="auto"/>
          <w:szCs w:val="21"/>
          <w:highlight w:val="none"/>
        </w:rPr>
        <w:t>、乙方人员擅自动用甲方的设施设备等，乙方按</w:t>
      </w:r>
      <w:r>
        <w:rPr>
          <w:rFonts w:ascii="宋体" w:hAnsi="宋体"/>
          <w:color w:val="auto"/>
          <w:szCs w:val="21"/>
          <w:highlight w:val="none"/>
        </w:rPr>
        <w:t>100</w:t>
      </w:r>
      <w:r>
        <w:rPr>
          <w:rFonts w:hint="eastAsia" w:ascii="宋体" w:hAnsi="宋体"/>
          <w:color w:val="auto"/>
          <w:szCs w:val="21"/>
          <w:highlight w:val="none"/>
        </w:rPr>
        <w:t>元至</w:t>
      </w:r>
      <w:r>
        <w:rPr>
          <w:rFonts w:ascii="宋体" w:hAnsi="宋体"/>
          <w:color w:val="auto"/>
          <w:szCs w:val="21"/>
          <w:highlight w:val="none"/>
        </w:rPr>
        <w:t>500</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人次承担扣款违约责任。</w:t>
      </w:r>
    </w:p>
    <w:p w14:paraId="2D64294A">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8</w:t>
      </w:r>
      <w:r>
        <w:rPr>
          <w:rFonts w:hint="eastAsia" w:ascii="宋体" w:hAnsi="宋体"/>
          <w:color w:val="auto"/>
          <w:szCs w:val="21"/>
          <w:highlight w:val="none"/>
        </w:rPr>
        <w:t>、乙方对甲方提出的安全整改意见不及时整改的，每逾期一天，乙方按</w:t>
      </w:r>
      <w:r>
        <w:rPr>
          <w:rFonts w:ascii="宋体" w:hAnsi="宋体"/>
          <w:color w:val="auto"/>
          <w:szCs w:val="21"/>
          <w:highlight w:val="none"/>
        </w:rPr>
        <w:t>200</w:t>
      </w:r>
      <w:r>
        <w:rPr>
          <w:rFonts w:hint="eastAsia" w:ascii="宋体" w:hAnsi="宋体"/>
          <w:color w:val="auto"/>
          <w:szCs w:val="21"/>
          <w:highlight w:val="none"/>
        </w:rPr>
        <w:t>元至</w:t>
      </w:r>
      <w:r>
        <w:rPr>
          <w:rFonts w:ascii="宋体" w:hAnsi="宋体"/>
          <w:color w:val="auto"/>
          <w:szCs w:val="21"/>
          <w:highlight w:val="none"/>
        </w:rPr>
        <w:t>1000</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天承担扣款违约责任。</w:t>
      </w:r>
    </w:p>
    <w:p w14:paraId="74A18674">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9</w:t>
      </w:r>
      <w:r>
        <w:rPr>
          <w:rFonts w:hint="eastAsia" w:ascii="宋体" w:hAnsi="宋体"/>
          <w:color w:val="auto"/>
          <w:szCs w:val="21"/>
          <w:highlight w:val="none"/>
        </w:rPr>
        <w:t>、实施过程中发生人身伤亡、设备事故有隐瞒行为的，除接受政府有关部门处理外，过错方应承担</w:t>
      </w:r>
      <w:r>
        <w:rPr>
          <w:rFonts w:ascii="宋体" w:hAnsi="宋体"/>
          <w:color w:val="auto"/>
          <w:szCs w:val="21"/>
          <w:highlight w:val="none"/>
        </w:rPr>
        <w:t>3000</w:t>
      </w:r>
      <w:r>
        <w:rPr>
          <w:rFonts w:hint="eastAsia" w:ascii="宋体" w:hAnsi="宋体"/>
          <w:color w:val="auto"/>
          <w:szCs w:val="21"/>
          <w:highlight w:val="none"/>
        </w:rPr>
        <w:t>元至</w:t>
      </w:r>
      <w:r>
        <w:rPr>
          <w:rFonts w:ascii="宋体" w:hAnsi="宋体"/>
          <w:color w:val="auto"/>
          <w:szCs w:val="21"/>
          <w:highlight w:val="none"/>
        </w:rPr>
        <w:t>10000</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次的扣款违约责任。</w:t>
      </w:r>
    </w:p>
    <w:p w14:paraId="3F1FC0CC">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10</w:t>
      </w:r>
      <w:r>
        <w:rPr>
          <w:rFonts w:hint="eastAsia" w:ascii="宋体" w:hAnsi="宋体"/>
          <w:color w:val="auto"/>
          <w:szCs w:val="21"/>
          <w:highlight w:val="none"/>
        </w:rPr>
        <w:t>、乙方因承担违约责任被扣款，甲方可从安全保证金内扣除。</w:t>
      </w:r>
    </w:p>
    <w:p w14:paraId="763E7EE6">
      <w:pPr>
        <w:snapToGrid w:val="0"/>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11</w:t>
      </w:r>
      <w:r>
        <w:rPr>
          <w:rFonts w:hint="eastAsia" w:ascii="宋体" w:hAnsi="宋体"/>
          <w:color w:val="auto"/>
          <w:szCs w:val="21"/>
          <w:highlight w:val="none"/>
        </w:rPr>
        <w:t>、乙方严重违反本合同达到</w:t>
      </w:r>
      <w:r>
        <w:rPr>
          <w:rFonts w:ascii="宋体" w:hAnsi="宋体"/>
          <w:color w:val="auto"/>
          <w:szCs w:val="21"/>
          <w:highlight w:val="none"/>
          <w:u w:val="single"/>
        </w:rPr>
        <w:t xml:space="preserve">  </w:t>
      </w:r>
      <w:r>
        <w:rPr>
          <w:rFonts w:hint="eastAsia" w:ascii="宋体" w:hAnsi="宋体"/>
          <w:color w:val="auto"/>
          <w:szCs w:val="21"/>
          <w:highlight w:val="none"/>
          <w:u w:val="single"/>
        </w:rPr>
        <w:t>四</w:t>
      </w:r>
      <w:r>
        <w:rPr>
          <w:rFonts w:ascii="宋体" w:hAnsi="宋体"/>
          <w:color w:val="auto"/>
          <w:szCs w:val="21"/>
          <w:highlight w:val="none"/>
          <w:u w:val="single"/>
        </w:rPr>
        <w:t xml:space="preserve">  </w:t>
      </w:r>
      <w:r>
        <w:rPr>
          <w:rFonts w:hint="eastAsia" w:ascii="宋体" w:hAnsi="宋体"/>
          <w:color w:val="auto"/>
          <w:szCs w:val="21"/>
          <w:highlight w:val="none"/>
        </w:rPr>
        <w:t>项的，甲方有权解除主合同和本从合同，乙方应承担由此造成的一切损失。</w:t>
      </w:r>
    </w:p>
    <w:p w14:paraId="7BC8177C">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十四、合同争议的解决方式。</w:t>
      </w:r>
    </w:p>
    <w:p w14:paraId="1729A1ED">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本合同在履行过程中发生事故产生争议，由双方当事人协商解决；协商或调解不成的则依法向发包人所在地人民法院起诉。</w:t>
      </w:r>
    </w:p>
    <w:p w14:paraId="25AA962D">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十五、其他条款</w:t>
      </w:r>
    </w:p>
    <w:p w14:paraId="7E733A37">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自双方签字盖章之日起生效，合同在履行期内双方均不得随意变更或解除。合同若有未尽事宜，经双方共同协商可进行书面修改或补充，由此形成的补充协议与本合同具有同等效力。本合同的法律效力独立于主合同。</w:t>
      </w:r>
    </w:p>
    <w:p w14:paraId="79F72556">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本合同一式肆份，甲乙双方各执二份。</w:t>
      </w:r>
    </w:p>
    <w:p w14:paraId="2B17EE8F">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甲方（公章）：                         乙方（公章）：</w:t>
      </w:r>
      <w:r>
        <w:rPr>
          <w:rFonts w:ascii="宋体" w:hAnsi="宋体"/>
          <w:color w:val="auto"/>
          <w:szCs w:val="21"/>
          <w:highlight w:val="none"/>
        </w:rPr>
        <w:t xml:space="preserve"> </w:t>
      </w:r>
    </w:p>
    <w:p w14:paraId="6E7AABD5">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法定代表人（签字）：                 </w:t>
      </w:r>
      <w:r>
        <w:rPr>
          <w:rFonts w:ascii="宋体" w:hAnsi="宋体"/>
          <w:color w:val="auto"/>
          <w:szCs w:val="21"/>
          <w:highlight w:val="none"/>
        </w:rPr>
        <w:t xml:space="preserve"> </w:t>
      </w:r>
      <w:r>
        <w:rPr>
          <w:rFonts w:hint="eastAsia" w:ascii="宋体" w:hAnsi="宋体"/>
          <w:color w:val="auto"/>
          <w:szCs w:val="21"/>
          <w:highlight w:val="none"/>
        </w:rPr>
        <w:t xml:space="preserve"> 法定代表人（签字）：</w:t>
      </w:r>
    </w:p>
    <w:p w14:paraId="0E34F7D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签约代表</w:t>
      </w:r>
      <w:r>
        <w:rPr>
          <w:rFonts w:ascii="宋体" w:hAnsi="宋体"/>
          <w:color w:val="auto"/>
          <w:szCs w:val="21"/>
          <w:highlight w:val="none"/>
        </w:rPr>
        <w:t xml:space="preserve"> ：</w:t>
      </w:r>
      <w:r>
        <w:rPr>
          <w:rFonts w:hint="eastAsia" w:ascii="宋体" w:hAnsi="宋体"/>
          <w:color w:val="auto"/>
          <w:szCs w:val="21"/>
          <w:highlight w:val="none"/>
        </w:rPr>
        <w:t xml:space="preserve">                           签约代表：</w:t>
      </w:r>
    </w:p>
    <w:p w14:paraId="0DE89445">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月 </w:t>
      </w:r>
      <w:r>
        <w:rPr>
          <w:rFonts w:hint="eastAsia" w:ascii="宋体" w:hAnsi="宋体"/>
          <w:color w:val="auto"/>
          <w:szCs w:val="21"/>
          <w:highlight w:val="none"/>
        </w:rPr>
        <w:t xml:space="preserve"> </w:t>
      </w:r>
      <w:r>
        <w:rPr>
          <w:rFonts w:ascii="宋体" w:hAnsi="宋体"/>
          <w:color w:val="auto"/>
          <w:szCs w:val="21"/>
          <w:highlight w:val="none"/>
        </w:rPr>
        <w:t xml:space="preserve">  日</w:t>
      </w:r>
      <w:r>
        <w:rPr>
          <w:rFonts w:hint="eastAsia" w:ascii="宋体" w:hAnsi="宋体"/>
          <w:color w:val="auto"/>
          <w:szCs w:val="21"/>
          <w:highlight w:val="none"/>
        </w:rPr>
        <w:t xml:space="preserve">                           年</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月 </w:t>
      </w:r>
      <w:r>
        <w:rPr>
          <w:rFonts w:hint="eastAsia" w:ascii="宋体" w:hAnsi="宋体"/>
          <w:color w:val="auto"/>
          <w:szCs w:val="21"/>
          <w:highlight w:val="none"/>
        </w:rPr>
        <w:t xml:space="preserve"> </w:t>
      </w:r>
      <w:r>
        <w:rPr>
          <w:rFonts w:ascii="宋体" w:hAnsi="宋体"/>
          <w:color w:val="auto"/>
          <w:szCs w:val="21"/>
          <w:highlight w:val="none"/>
        </w:rPr>
        <w:t xml:space="preserve">  日</w:t>
      </w:r>
    </w:p>
    <w:p w14:paraId="5FFB90D5">
      <w:pPr>
        <w:widowControl/>
        <w:jc w:val="left"/>
        <w:rPr>
          <w:rFonts w:ascii="宋体"/>
          <w:color w:val="auto"/>
          <w:highlight w:val="none"/>
        </w:rPr>
      </w:pPr>
      <w:r>
        <w:rPr>
          <w:rFonts w:ascii="宋体"/>
          <w:color w:val="auto"/>
          <w:highlight w:val="none"/>
        </w:rPr>
        <w:br w:type="page"/>
      </w:r>
    </w:p>
    <w:p w14:paraId="6C134113">
      <w:pPr>
        <w:pStyle w:val="4"/>
        <w:rPr>
          <w:rFonts w:hint="eastAsia"/>
          <w:color w:val="auto"/>
          <w:highlight w:val="none"/>
        </w:rPr>
      </w:pPr>
      <w:r>
        <w:rPr>
          <w:rFonts w:hint="eastAsia"/>
          <w:color w:val="auto"/>
          <w:highlight w:val="none"/>
        </w:rPr>
        <w:t>附件</w:t>
      </w:r>
      <w:r>
        <w:rPr>
          <w:color w:val="auto"/>
          <w:highlight w:val="none"/>
        </w:rPr>
        <w:t>4</w:t>
      </w:r>
      <w:r>
        <w:rPr>
          <w:rFonts w:hint="eastAsia"/>
          <w:color w:val="auto"/>
          <w:highlight w:val="none"/>
        </w:rPr>
        <w:t xml:space="preserve"> 质量保修书</w:t>
      </w:r>
    </w:p>
    <w:p w14:paraId="52854519">
      <w:pPr>
        <w:adjustRightInd w:val="0"/>
        <w:snapToGrid w:val="0"/>
        <w:spacing w:line="360" w:lineRule="auto"/>
        <w:ind w:firstLine="281" w:firstLineChars="100"/>
        <w:jc w:val="center"/>
        <w:rPr>
          <w:rFonts w:hint="eastAsia" w:ascii="宋体" w:hAnsi="宋体"/>
          <w:b/>
          <w:color w:val="auto"/>
          <w:sz w:val="28"/>
          <w:szCs w:val="21"/>
          <w:highlight w:val="none"/>
        </w:rPr>
      </w:pPr>
      <w:bookmarkStart w:id="24" w:name="_Toc444179476"/>
      <w:bookmarkStart w:id="25" w:name="_Toc370066716"/>
      <w:bookmarkStart w:id="26" w:name="_Toc331605688"/>
      <w:bookmarkStart w:id="27" w:name="_Toc444964573"/>
      <w:bookmarkStart w:id="28" w:name="_Toc444179547"/>
      <w:bookmarkStart w:id="29" w:name="_Toc28982"/>
      <w:r>
        <w:rPr>
          <w:rFonts w:hint="eastAsia" w:ascii="宋体" w:hAnsi="宋体"/>
          <w:b/>
          <w:color w:val="auto"/>
          <w:sz w:val="28"/>
          <w:szCs w:val="21"/>
          <w:highlight w:val="none"/>
        </w:rPr>
        <w:t>质量保修书</w:t>
      </w:r>
      <w:bookmarkEnd w:id="24"/>
      <w:bookmarkEnd w:id="25"/>
      <w:bookmarkEnd w:id="26"/>
      <w:bookmarkEnd w:id="27"/>
      <w:bookmarkEnd w:id="28"/>
      <w:bookmarkEnd w:id="29"/>
    </w:p>
    <w:p w14:paraId="1972B35D">
      <w:pPr>
        <w:shd w:val="clear" w:color="auto" w:fill="FFFFFF"/>
        <w:adjustRightInd w:val="0"/>
        <w:snapToGrid w:val="0"/>
        <w:spacing w:line="360" w:lineRule="auto"/>
        <w:rPr>
          <w:rFonts w:hint="eastAsia" w:ascii="宋体" w:hAnsi="宋体" w:cs="宋体"/>
          <w:color w:val="auto"/>
          <w:kern w:val="0"/>
          <w:szCs w:val="21"/>
          <w:highlight w:val="none"/>
        </w:rPr>
      </w:pPr>
    </w:p>
    <w:p w14:paraId="68C6DF35">
      <w:pPr>
        <w:shd w:val="clear" w:color="auto" w:fill="FFFFFF"/>
        <w:adjustRightInd w:val="0"/>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甲方：</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val="en-US" w:eastAsia="zh-CN"/>
        </w:rPr>
        <w:t xml:space="preserve">                    </w:t>
      </w:r>
      <w:r>
        <w:rPr>
          <w:rFonts w:hint="eastAsia" w:ascii="宋体" w:hAnsi="宋体"/>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 xml:space="preserve">  </w:t>
      </w:r>
    </w:p>
    <w:p w14:paraId="05F1EF34">
      <w:pPr>
        <w:shd w:val="clear" w:color="auto" w:fill="FFFFFF"/>
        <w:adjustRightInd w:val="0"/>
        <w:snapToGrid w:val="0"/>
        <w:spacing w:line="360" w:lineRule="auto"/>
        <w:rPr>
          <w:rFonts w:hint="eastAsia" w:ascii="宋体" w:hAnsi="宋体" w:cs="宋体"/>
          <w:color w:val="auto"/>
          <w:kern w:val="0"/>
          <w:szCs w:val="21"/>
          <w:highlight w:val="none"/>
          <w:u w:val="single"/>
        </w:rPr>
      </w:pPr>
      <w:r>
        <w:rPr>
          <w:rFonts w:hint="eastAsia" w:ascii="宋体" w:hAnsi="宋体" w:cs="宋体"/>
          <w:color w:val="auto"/>
          <w:kern w:val="0"/>
          <w:szCs w:val="21"/>
          <w:highlight w:val="none"/>
        </w:rPr>
        <w:t>乙方：</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p>
    <w:p w14:paraId="08BCB6D9">
      <w:pPr>
        <w:shd w:val="clear" w:color="auto" w:fill="FFFFFF"/>
        <w:adjustRightInd w:val="0"/>
        <w:snapToGrid w:val="0"/>
        <w:spacing w:line="360" w:lineRule="auto"/>
        <w:rPr>
          <w:rFonts w:hint="eastAsia" w:ascii="宋体" w:hAnsi="宋体" w:cs="宋体"/>
          <w:color w:val="auto"/>
          <w:kern w:val="0"/>
          <w:szCs w:val="21"/>
          <w:highlight w:val="none"/>
        </w:rPr>
      </w:pP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为保证</w:t>
      </w:r>
      <w:r>
        <w:rPr>
          <w:rFonts w:hint="eastAsia" w:ascii="宋体" w:hAnsi="宋体"/>
          <w:color w:val="auto"/>
          <w:szCs w:val="21"/>
          <w:highlight w:val="none"/>
          <w:u w:val="single"/>
        </w:rPr>
        <w:t xml:space="preserve"> </w:t>
      </w:r>
      <w:r>
        <w:rPr>
          <w:rFonts w:hint="eastAsia" w:ascii="宋体" w:hAnsi="宋体" w:cs="宋体"/>
          <w:color w:val="auto"/>
          <w:spacing w:val="15"/>
          <w:kern w:val="0"/>
          <w:szCs w:val="21"/>
          <w:highlight w:val="none"/>
          <w:u w:val="single"/>
        </w:rPr>
        <w:t>广州工控大湾区现代高端装备研发生产基地项目（三期）宿舍家具采购项目</w:t>
      </w:r>
      <w:r>
        <w:rPr>
          <w:rFonts w:hint="eastAsia" w:ascii="宋体" w:hAnsi="宋体" w:cs="宋体"/>
          <w:color w:val="auto"/>
          <w:kern w:val="0"/>
          <w:szCs w:val="21"/>
          <w:highlight w:val="none"/>
        </w:rPr>
        <w:t>在合理使用期限内正常使用，经双方协商一致签订质量保修书。乙方在质量保修期内按照有关法律、法规、规章的管理规定及双方约定承担质量保修责任。</w:t>
      </w:r>
    </w:p>
    <w:p w14:paraId="60695F3A">
      <w:pPr>
        <w:shd w:val="clear" w:color="auto" w:fill="FFFFFF"/>
        <w:adjustRightInd w:val="0"/>
        <w:snapToGrid w:val="0"/>
        <w:spacing w:line="360" w:lineRule="auto"/>
        <w:ind w:firstLine="422" w:firstLineChars="200"/>
        <w:rPr>
          <w:rFonts w:hint="eastAsia" w:ascii="宋体" w:hAnsi="宋体" w:cs="宋体"/>
          <w:b/>
          <w:color w:val="auto"/>
          <w:kern w:val="0"/>
          <w:szCs w:val="21"/>
          <w:highlight w:val="none"/>
        </w:rPr>
      </w:pPr>
      <w:r>
        <w:rPr>
          <w:rFonts w:hint="eastAsia" w:ascii="宋体" w:hAnsi="宋体" w:cs="宋体"/>
          <w:b/>
          <w:color w:val="auto"/>
          <w:kern w:val="0"/>
          <w:szCs w:val="21"/>
          <w:highlight w:val="none"/>
        </w:rPr>
        <w:t>一、质量保修范围和内容</w:t>
      </w:r>
    </w:p>
    <w:p w14:paraId="294A2D50">
      <w:pPr>
        <w:shd w:val="clear" w:color="auto" w:fill="FFFFFF"/>
        <w:adjustRightInd w:val="0"/>
        <w:snapToGrid w:val="0"/>
        <w:spacing w:line="360" w:lineRule="auto"/>
        <w:rPr>
          <w:rFonts w:hint="eastAsia" w:ascii="宋体" w:hAnsi="宋体" w:cs="宋体"/>
          <w:b/>
          <w:color w:val="auto"/>
          <w:kern w:val="0"/>
          <w:szCs w:val="21"/>
          <w:highlight w:val="none"/>
        </w:rPr>
      </w:pP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质量保修范围为乙方承包的购置和安装的设备及相关服务。具体质量保修内容双方约定如下：</w:t>
      </w:r>
      <w:r>
        <w:rPr>
          <w:rFonts w:hint="eastAsia" w:ascii="宋体" w:hAnsi="宋体" w:cs="宋体"/>
          <w:color w:val="auto"/>
          <w:kern w:val="0"/>
          <w:szCs w:val="21"/>
          <w:highlight w:val="none"/>
          <w:u w:val="single"/>
        </w:rPr>
        <w:t xml:space="preserve"> </w:t>
      </w:r>
      <w:r>
        <w:rPr>
          <w:rFonts w:hint="eastAsia" w:ascii="宋体" w:hAnsi="宋体"/>
          <w:color w:val="auto"/>
          <w:szCs w:val="21"/>
          <w:highlight w:val="none"/>
          <w:u w:val="single"/>
        </w:rPr>
        <w:t>本合同的质量保证期（简称“质保期”）为</w:t>
      </w:r>
      <w:r>
        <w:rPr>
          <w:rFonts w:ascii="宋体" w:hAnsi="宋体"/>
          <w:color w:val="auto"/>
          <w:szCs w:val="21"/>
          <w:highlight w:val="none"/>
          <w:u w:val="single"/>
        </w:rPr>
        <w:t xml:space="preserve"> </w:t>
      </w:r>
      <w:r>
        <w:rPr>
          <w:rFonts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1</w:t>
      </w:r>
      <w:r>
        <w:rPr>
          <w:rFonts w:ascii="宋体" w:hAnsi="宋体"/>
          <w:b/>
          <w:bCs/>
          <w:color w:val="auto"/>
          <w:szCs w:val="21"/>
          <w:highlight w:val="none"/>
          <w:u w:val="single"/>
        </w:rPr>
        <w:t xml:space="preserve"> </w:t>
      </w:r>
      <w:r>
        <w:rPr>
          <w:rFonts w:ascii="宋体" w:hAnsi="宋体"/>
          <w:color w:val="auto"/>
          <w:szCs w:val="21"/>
          <w:highlight w:val="none"/>
          <w:u w:val="single"/>
        </w:rPr>
        <w:t xml:space="preserve"> 年，</w:t>
      </w:r>
      <w:r>
        <w:rPr>
          <w:rFonts w:hint="eastAsia" w:ascii="宋体" w:hAnsi="宋体"/>
          <w:color w:val="auto"/>
          <w:szCs w:val="21"/>
          <w:highlight w:val="none"/>
          <w:u w:val="single"/>
        </w:rPr>
        <w:t>质保期从验收之日起计算。质保期内</w:t>
      </w:r>
      <w:r>
        <w:rPr>
          <w:rFonts w:ascii="宋体" w:hAnsi="宋体"/>
          <w:color w:val="auto"/>
          <w:szCs w:val="21"/>
          <w:highlight w:val="none"/>
          <w:u w:val="single"/>
        </w:rPr>
        <w:t>所有设备维修服务均为上门服务</w:t>
      </w:r>
      <w:r>
        <w:rPr>
          <w:rFonts w:hint="eastAsia" w:ascii="宋体" w:hAnsi="宋体"/>
          <w:color w:val="auto"/>
          <w:szCs w:val="21"/>
          <w:highlight w:val="none"/>
          <w:u w:val="single"/>
        </w:rPr>
        <w:t>，且</w:t>
      </w:r>
      <w:r>
        <w:rPr>
          <w:rFonts w:ascii="宋体" w:hAnsi="宋体"/>
          <w:color w:val="auto"/>
          <w:szCs w:val="21"/>
          <w:highlight w:val="none"/>
          <w:u w:val="single"/>
        </w:rPr>
        <w:t>为免费</w:t>
      </w:r>
      <w:r>
        <w:rPr>
          <w:rFonts w:hint="eastAsia" w:ascii="宋体" w:hAnsi="宋体"/>
          <w:color w:val="auto"/>
          <w:szCs w:val="21"/>
          <w:highlight w:val="none"/>
          <w:u w:val="single"/>
        </w:rPr>
        <w:t>。</w:t>
      </w:r>
    </w:p>
    <w:p w14:paraId="43DD1EB6">
      <w:pPr>
        <w:shd w:val="clear" w:color="auto" w:fill="FFFFFF"/>
        <w:adjustRightInd w:val="0"/>
        <w:snapToGrid w:val="0"/>
        <w:spacing w:line="360" w:lineRule="auto"/>
        <w:ind w:firstLine="422" w:firstLineChars="200"/>
        <w:rPr>
          <w:rFonts w:hint="eastAsia" w:ascii="宋体" w:hAnsi="宋体" w:cs="宋体"/>
          <w:b/>
          <w:color w:val="auto"/>
          <w:kern w:val="0"/>
          <w:szCs w:val="21"/>
          <w:highlight w:val="none"/>
        </w:rPr>
      </w:pPr>
      <w:r>
        <w:rPr>
          <w:rFonts w:hint="eastAsia" w:ascii="宋体" w:hAnsi="宋体" w:cs="宋体"/>
          <w:b/>
          <w:color w:val="auto"/>
          <w:kern w:val="0"/>
          <w:szCs w:val="21"/>
          <w:highlight w:val="none"/>
        </w:rPr>
        <w:t>二、质量保修期</w:t>
      </w:r>
    </w:p>
    <w:p w14:paraId="2BA0530A">
      <w:pPr>
        <w:shd w:val="clear" w:color="auto" w:fill="FFFFFF"/>
        <w:adjustRightInd w:val="0"/>
        <w:snapToGrid w:val="0"/>
        <w:spacing w:line="360" w:lineRule="auto"/>
        <w:ind w:firstLine="420" w:firstLineChars="200"/>
        <w:rPr>
          <w:rFonts w:hint="eastAsia" w:ascii="宋体" w:hAnsi="宋体" w:cs="宋体"/>
          <w:b/>
          <w:color w:val="auto"/>
          <w:kern w:val="0"/>
          <w:szCs w:val="21"/>
          <w:highlight w:val="none"/>
        </w:rPr>
      </w:pPr>
      <w:r>
        <w:rPr>
          <w:rFonts w:hint="eastAsia" w:ascii="宋体" w:hAnsi="宋体" w:cs="宋体"/>
          <w:color w:val="auto"/>
          <w:kern w:val="0"/>
          <w:szCs w:val="21"/>
          <w:highlight w:val="none"/>
        </w:rPr>
        <w:t>自验收合格之日起，乙方提供</w:t>
      </w:r>
      <w:r>
        <w:rPr>
          <w:rFonts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val="en-US" w:eastAsia="zh-CN"/>
        </w:rPr>
        <w:t>1</w:t>
      </w:r>
      <w:r>
        <w:rPr>
          <w:rFonts w:ascii="宋体" w:hAnsi="宋体" w:cs="宋体"/>
          <w:color w:val="auto"/>
          <w:kern w:val="0"/>
          <w:szCs w:val="21"/>
          <w:highlight w:val="none"/>
          <w:u w:val="single"/>
        </w:rPr>
        <w:t xml:space="preserve"> </w:t>
      </w:r>
      <w:r>
        <w:rPr>
          <w:rFonts w:hint="eastAsia" w:ascii="宋体" w:hAnsi="宋体" w:cs="宋体"/>
          <w:color w:val="auto"/>
          <w:kern w:val="0"/>
          <w:szCs w:val="21"/>
          <w:highlight w:val="none"/>
        </w:rPr>
        <w:t>年的免费质保期，质保期内，非因操作不当造成要更换的零配件及货物由乙方负责包修、包换。在质保期结束前1个月，乙方须免费对货物进行一次全面的维护与保养。</w:t>
      </w:r>
    </w:p>
    <w:p w14:paraId="43B483B3">
      <w:pPr>
        <w:shd w:val="clear" w:color="auto" w:fill="FFFFFF"/>
        <w:adjustRightInd w:val="0"/>
        <w:snapToGrid w:val="0"/>
        <w:spacing w:line="360" w:lineRule="auto"/>
        <w:ind w:firstLine="422" w:firstLineChars="200"/>
        <w:rPr>
          <w:rFonts w:hint="eastAsia" w:ascii="宋体" w:hAnsi="宋体" w:cs="宋体"/>
          <w:b/>
          <w:color w:val="auto"/>
          <w:kern w:val="0"/>
          <w:szCs w:val="21"/>
          <w:highlight w:val="none"/>
        </w:rPr>
      </w:pPr>
      <w:r>
        <w:rPr>
          <w:rFonts w:hint="eastAsia" w:ascii="宋体" w:hAnsi="宋体" w:cs="宋体"/>
          <w:b/>
          <w:color w:val="auto"/>
          <w:kern w:val="0"/>
          <w:szCs w:val="21"/>
          <w:highlight w:val="none"/>
        </w:rPr>
        <w:t>三、质量保修责任</w:t>
      </w:r>
    </w:p>
    <w:p w14:paraId="27AB7B4D">
      <w:pPr>
        <w:widowControl/>
        <w:shd w:val="clear" w:color="auto" w:fill="FFFFFF"/>
        <w:adjustRightInd w:val="0"/>
        <w:snapToGrid w:val="0"/>
        <w:spacing w:line="360" w:lineRule="auto"/>
        <w:ind w:firstLine="420" w:firstLineChars="200"/>
        <w:rPr>
          <w:rFonts w:hint="eastAsia"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rPr>
        <w:t>、项目验收后在质量保修期内属于保修范围和内容的项目，乙方</w:t>
      </w:r>
      <w:r>
        <w:rPr>
          <w:rFonts w:ascii="宋体" w:hAnsi="宋体" w:cs="宋体"/>
          <w:color w:val="auto"/>
          <w:kern w:val="0"/>
          <w:szCs w:val="21"/>
          <w:highlight w:val="none"/>
        </w:rPr>
        <w:t>设备故障报修的响应时间：2小时。若电话中无法解决，4小时内到达现场进行维护。</w:t>
      </w:r>
    </w:p>
    <w:p w14:paraId="459CFE0D">
      <w:pPr>
        <w:shd w:val="clear" w:color="auto" w:fill="FFFFFF"/>
        <w:adjustRightInd w:val="0"/>
        <w:snapToGrid w:val="0"/>
        <w:spacing w:line="360" w:lineRule="auto"/>
        <w:ind w:firstLine="420" w:firstLineChars="200"/>
        <w:rPr>
          <w:rFonts w:hint="eastAsia" w:ascii="宋体" w:hAnsi="宋体" w:cs="宋体"/>
          <w:color w:val="auto"/>
          <w:kern w:val="0"/>
          <w:szCs w:val="21"/>
          <w:highlight w:val="none"/>
        </w:rPr>
      </w:pPr>
      <w:r>
        <w:rPr>
          <w:rFonts w:ascii="宋体" w:hAnsi="宋体" w:cs="宋体"/>
          <w:color w:val="auto"/>
          <w:kern w:val="0"/>
          <w:szCs w:val="21"/>
          <w:highlight w:val="none"/>
        </w:rPr>
        <w:t xml:space="preserve"> 2</w:t>
      </w:r>
      <w:r>
        <w:rPr>
          <w:rFonts w:hint="eastAsia" w:ascii="宋体" w:hAnsi="宋体" w:cs="宋体"/>
          <w:color w:val="auto"/>
          <w:kern w:val="0"/>
          <w:szCs w:val="21"/>
          <w:highlight w:val="none"/>
        </w:rPr>
        <w:t>、发生须紧急抢修事故乙方接到事故通知后，应立即到达事故现场抢修。非乙方施工或设备质量引起的事故，抢修费用由甲方承担。</w:t>
      </w:r>
    </w:p>
    <w:p w14:paraId="36625CD3">
      <w:pPr>
        <w:shd w:val="clear" w:color="auto" w:fill="FFFFFF"/>
        <w:adjustRightInd w:val="0"/>
        <w:snapToGrid w:val="0"/>
        <w:spacing w:line="360" w:lineRule="auto"/>
        <w:ind w:firstLine="420" w:firstLineChars="200"/>
        <w:rPr>
          <w:rFonts w:hint="eastAsia" w:ascii="宋体" w:hAnsi="宋体" w:cs="宋体"/>
          <w:color w:val="auto"/>
          <w:kern w:val="0"/>
          <w:szCs w:val="21"/>
          <w:highlight w:val="none"/>
        </w:rPr>
      </w:pPr>
      <w:r>
        <w:rPr>
          <w:rFonts w:ascii="宋体" w:hAnsi="宋体" w:cs="宋体"/>
          <w:color w:val="auto"/>
          <w:kern w:val="0"/>
          <w:szCs w:val="21"/>
          <w:highlight w:val="none"/>
        </w:rPr>
        <w:t>3</w:t>
      </w:r>
      <w:r>
        <w:rPr>
          <w:rFonts w:hint="eastAsia" w:ascii="宋体" w:hAnsi="宋体" w:cs="宋体"/>
          <w:color w:val="auto"/>
          <w:kern w:val="0"/>
          <w:szCs w:val="21"/>
          <w:highlight w:val="none"/>
        </w:rPr>
        <w:t>、在国家规定的产品合理使用期限内，乙方确保产品的质量。因乙方原因致使产品在合理使用期限内造成人身和财产损害的，乙方应承担损害赔偿责任。</w:t>
      </w:r>
    </w:p>
    <w:p w14:paraId="3E08E6F4">
      <w:pPr>
        <w:shd w:val="clear" w:color="auto" w:fill="FFFFFF"/>
        <w:adjustRightInd w:val="0"/>
        <w:snapToGrid w:val="0"/>
        <w:spacing w:line="360" w:lineRule="auto"/>
        <w:ind w:firstLine="420" w:firstLineChars="200"/>
        <w:rPr>
          <w:rFonts w:hint="eastAsia" w:ascii="宋体" w:hAnsi="宋体" w:cs="宋体"/>
          <w:b/>
          <w:color w:val="auto"/>
          <w:kern w:val="0"/>
          <w:szCs w:val="21"/>
          <w:highlight w:val="none"/>
        </w:rPr>
      </w:pPr>
      <w:r>
        <w:rPr>
          <w:rFonts w:hint="eastAsia" w:ascii="宋体" w:hAnsi="宋体" w:cs="宋体"/>
          <w:color w:val="auto"/>
          <w:kern w:val="0"/>
          <w:szCs w:val="21"/>
          <w:highlight w:val="none"/>
        </w:rPr>
        <w:t>4、质量保修完成后，由甲方组织验收。</w:t>
      </w:r>
    </w:p>
    <w:p w14:paraId="527E3812">
      <w:pPr>
        <w:shd w:val="clear" w:color="auto" w:fill="FFFFFF"/>
        <w:adjustRightInd w:val="0"/>
        <w:snapToGrid w:val="0"/>
        <w:spacing w:line="360" w:lineRule="auto"/>
        <w:ind w:firstLine="422" w:firstLineChars="200"/>
        <w:rPr>
          <w:rFonts w:hint="eastAsia" w:ascii="宋体" w:hAnsi="宋体" w:cs="宋体"/>
          <w:b/>
          <w:color w:val="auto"/>
          <w:kern w:val="0"/>
          <w:szCs w:val="21"/>
          <w:highlight w:val="none"/>
        </w:rPr>
      </w:pPr>
      <w:r>
        <w:rPr>
          <w:rFonts w:hint="eastAsia" w:ascii="宋体" w:hAnsi="宋体" w:cs="宋体"/>
          <w:b/>
          <w:color w:val="auto"/>
          <w:kern w:val="0"/>
          <w:szCs w:val="21"/>
          <w:highlight w:val="none"/>
          <w:lang w:eastAsia="zh-CN"/>
        </w:rPr>
        <w:t>四</w:t>
      </w:r>
      <w:r>
        <w:rPr>
          <w:rFonts w:hint="eastAsia" w:ascii="宋体" w:hAnsi="宋体" w:cs="宋体"/>
          <w:b/>
          <w:color w:val="auto"/>
          <w:kern w:val="0"/>
          <w:szCs w:val="21"/>
          <w:highlight w:val="none"/>
        </w:rPr>
        <w:t>、其他</w:t>
      </w:r>
    </w:p>
    <w:p w14:paraId="28BC1983">
      <w:pPr>
        <w:shd w:val="clear" w:color="auto" w:fill="FFFFFF"/>
        <w:adjustRightInd w:val="0"/>
        <w:snapToGrid w:val="0"/>
        <w:spacing w:line="360" w:lineRule="auto"/>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双方约定的其他质量保修事项：</w:t>
      </w:r>
      <w:r>
        <w:rPr>
          <w:rFonts w:hint="eastAsia" w:ascii="宋体" w:hAnsi="宋体" w:cs="宋体"/>
          <w:color w:val="auto"/>
          <w:kern w:val="0"/>
          <w:szCs w:val="21"/>
          <w:highlight w:val="none"/>
          <w:u w:val="single"/>
        </w:rPr>
        <w:t xml:space="preserve">   无    </w:t>
      </w:r>
      <w:r>
        <w:rPr>
          <w:rFonts w:hint="eastAsia" w:ascii="宋体" w:hAnsi="宋体" w:cs="宋体"/>
          <w:color w:val="auto"/>
          <w:kern w:val="0"/>
          <w:szCs w:val="21"/>
          <w:highlight w:val="none"/>
        </w:rPr>
        <w:t>。</w:t>
      </w:r>
    </w:p>
    <w:p w14:paraId="37C57891">
      <w:pPr>
        <w:shd w:val="clear" w:color="auto" w:fill="FFFFFF"/>
        <w:adjustRightInd w:val="0"/>
        <w:snapToGrid w:val="0"/>
        <w:spacing w:line="360" w:lineRule="auto"/>
        <w:ind w:firstLine="420" w:firstLineChars="200"/>
        <w:rPr>
          <w:rFonts w:hint="eastAsia" w:ascii="宋体" w:hAnsi="宋体" w:cs="宋体"/>
          <w:color w:val="auto"/>
          <w:kern w:val="0"/>
          <w:szCs w:val="21"/>
          <w:highlight w:val="none"/>
        </w:rPr>
      </w:pPr>
      <w:r>
        <w:rPr>
          <w:rFonts w:hint="eastAsia" w:ascii="宋体" w:hAnsi="宋体" w:cs="宋体"/>
          <w:color w:val="auto"/>
          <w:kern w:val="0"/>
          <w:szCs w:val="21"/>
          <w:highlight w:val="none"/>
        </w:rPr>
        <w:t>本项目质量保修书由买、卖双方共同签署，作为合同附件，其有效期限至保修期满且签发保修期质量合格报告之日。</w:t>
      </w:r>
    </w:p>
    <w:p w14:paraId="4863EE1E">
      <w:pPr>
        <w:shd w:val="clear" w:color="auto" w:fill="FFFFFF"/>
        <w:adjustRightInd w:val="0"/>
        <w:snapToGrid w:val="0"/>
        <w:spacing w:line="360" w:lineRule="auto"/>
        <w:ind w:firstLine="570"/>
        <w:rPr>
          <w:rFonts w:hint="eastAsia" w:ascii="宋体" w:hAnsi="宋体" w:cs="宋体"/>
          <w:color w:val="auto"/>
          <w:kern w:val="0"/>
          <w:szCs w:val="21"/>
          <w:highlight w:val="none"/>
        </w:rPr>
      </w:pPr>
    </w:p>
    <w:p w14:paraId="20E51D84">
      <w:pPr>
        <w:shd w:val="clear" w:color="auto" w:fill="FFFFFF"/>
        <w:adjustRightInd w:val="0"/>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甲方：(公章)</w:t>
      </w:r>
      <w:r>
        <w:rPr>
          <w:rFonts w:hint="eastAsia" w:ascii="宋体" w:hAnsi="宋体"/>
          <w:color w:val="auto"/>
          <w:kern w:val="0"/>
          <w:szCs w:val="21"/>
          <w:highlight w:val="none"/>
        </w:rPr>
        <w:t xml:space="preserve">                           </w:t>
      </w:r>
      <w:r>
        <w:rPr>
          <w:rFonts w:hint="eastAsia" w:ascii="宋体" w:hAnsi="宋体" w:cs="宋体"/>
          <w:color w:val="auto"/>
          <w:kern w:val="0"/>
          <w:szCs w:val="21"/>
          <w:highlight w:val="none"/>
        </w:rPr>
        <w:t>乙方： (公章)</w:t>
      </w:r>
      <w:r>
        <w:rPr>
          <w:rFonts w:hint="eastAsia" w:ascii="宋体" w:hAnsi="宋体"/>
          <w:color w:val="auto"/>
          <w:kern w:val="0"/>
          <w:szCs w:val="21"/>
          <w:highlight w:val="none"/>
        </w:rPr>
        <w:t xml:space="preserve">  </w:t>
      </w:r>
      <w:r>
        <w:rPr>
          <w:rFonts w:hint="eastAsia" w:ascii="宋体" w:hAnsi="宋体" w:cs="宋体"/>
          <w:color w:val="auto"/>
          <w:kern w:val="0"/>
          <w:szCs w:val="21"/>
          <w:highlight w:val="none"/>
        </w:rPr>
        <w:t xml:space="preserve">           </w:t>
      </w:r>
    </w:p>
    <w:p w14:paraId="240A89F7">
      <w:pPr>
        <w:shd w:val="clear" w:color="auto" w:fill="FFFFFF"/>
        <w:adjustRightInd w:val="0"/>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法定代表人：</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法定代表人：</w:t>
      </w:r>
    </w:p>
    <w:p w14:paraId="6F85B94B">
      <w:pPr>
        <w:shd w:val="clear" w:color="auto" w:fill="FFFFFF"/>
        <w:adjustRightInd w:val="0"/>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委托代理人：</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w:t>
      </w:r>
      <w:r>
        <w:rPr>
          <w:rFonts w:ascii="宋体" w:hAnsi="宋体" w:cs="宋体"/>
          <w:color w:val="auto"/>
          <w:kern w:val="0"/>
          <w:szCs w:val="21"/>
          <w:highlight w:val="none"/>
        </w:rPr>
        <w:t xml:space="preserve">  </w:t>
      </w:r>
      <w:r>
        <w:rPr>
          <w:rFonts w:hint="eastAsia" w:ascii="宋体" w:hAnsi="宋体" w:cs="宋体"/>
          <w:color w:val="auto"/>
          <w:kern w:val="0"/>
          <w:szCs w:val="21"/>
          <w:highlight w:val="none"/>
        </w:rPr>
        <w:t xml:space="preserve">     委托代理人：</w:t>
      </w:r>
    </w:p>
    <w:p w14:paraId="6AD2EDB1">
      <w:pPr>
        <w:shd w:val="clear" w:color="auto" w:fill="FFFFFF"/>
        <w:snapToGrid w:val="0"/>
        <w:spacing w:line="360" w:lineRule="auto"/>
        <w:rPr>
          <w:color w:val="auto"/>
          <w:highlight w:val="none"/>
        </w:rPr>
      </w:pPr>
      <w:r>
        <w:rPr>
          <w:rFonts w:hint="eastAsia" w:ascii="宋体" w:hAnsi="宋体" w:cs="宋体"/>
          <w:color w:val="auto"/>
          <w:kern w:val="0"/>
          <w:szCs w:val="21"/>
          <w:highlight w:val="none"/>
        </w:rPr>
        <w:t>时间：     年   月   日                时间：     年   月   日</w:t>
      </w:r>
    </w:p>
    <w:p w14:paraId="3F523683">
      <w:pPr>
        <w:spacing w:line="360" w:lineRule="auto"/>
        <w:jc w:val="left"/>
        <w:rPr>
          <w:rFonts w:ascii="宋体"/>
          <w:color w:val="auto"/>
          <w:highlight w:val="none"/>
        </w:rPr>
      </w:pPr>
    </w:p>
    <w:p w14:paraId="76C80500">
      <w:pPr>
        <w:spacing w:line="360" w:lineRule="auto"/>
        <w:jc w:val="center"/>
        <w:rPr>
          <w:rFonts w:hint="eastAsia" w:ascii="宋体" w:hAnsi="宋体"/>
          <w:b/>
          <w:color w:val="auto"/>
          <w:szCs w:val="21"/>
          <w:highlight w:val="none"/>
        </w:rPr>
      </w:pPr>
      <w:r>
        <w:rPr>
          <w:rFonts w:ascii="宋体"/>
          <w:color w:val="auto"/>
          <w:highlight w:val="none"/>
        </w:rPr>
        <w:br w:type="page"/>
      </w:r>
    </w:p>
    <w:p w14:paraId="6BDBFE88">
      <w:pPr>
        <w:spacing w:line="480" w:lineRule="exact"/>
        <w:jc w:val="both"/>
        <w:rPr>
          <w:rFonts w:eastAsia="黑体"/>
          <w:b/>
          <w:color w:val="auto"/>
          <w:sz w:val="44"/>
          <w:highlight w:val="none"/>
        </w:rPr>
      </w:pPr>
    </w:p>
    <w:p w14:paraId="0E0F5205">
      <w:pPr>
        <w:spacing w:line="480" w:lineRule="exact"/>
        <w:jc w:val="center"/>
        <w:rPr>
          <w:rFonts w:eastAsia="黑体"/>
          <w:b/>
          <w:color w:val="auto"/>
          <w:sz w:val="44"/>
          <w:highlight w:val="none"/>
        </w:rPr>
      </w:pPr>
    </w:p>
    <w:p w14:paraId="32FBBCC6">
      <w:pPr>
        <w:spacing w:line="480" w:lineRule="exact"/>
        <w:jc w:val="center"/>
        <w:rPr>
          <w:rFonts w:eastAsia="黑体"/>
          <w:b/>
          <w:color w:val="auto"/>
          <w:sz w:val="44"/>
          <w:highlight w:val="none"/>
        </w:rPr>
      </w:pPr>
    </w:p>
    <w:p w14:paraId="7A071E17">
      <w:pPr>
        <w:spacing w:line="480" w:lineRule="exact"/>
        <w:jc w:val="center"/>
        <w:rPr>
          <w:rFonts w:eastAsia="黑体"/>
          <w:b/>
          <w:color w:val="auto"/>
          <w:sz w:val="44"/>
          <w:highlight w:val="none"/>
        </w:rPr>
      </w:pPr>
    </w:p>
    <w:p w14:paraId="39B1BB37">
      <w:pPr>
        <w:spacing w:line="480" w:lineRule="exact"/>
        <w:jc w:val="center"/>
        <w:rPr>
          <w:rFonts w:eastAsia="黑体"/>
          <w:b/>
          <w:color w:val="auto"/>
          <w:sz w:val="44"/>
          <w:highlight w:val="none"/>
        </w:rPr>
      </w:pPr>
    </w:p>
    <w:p w14:paraId="0E355B45">
      <w:pPr>
        <w:spacing w:line="480" w:lineRule="exact"/>
        <w:jc w:val="center"/>
        <w:rPr>
          <w:rFonts w:eastAsia="黑体"/>
          <w:b/>
          <w:color w:val="auto"/>
          <w:sz w:val="44"/>
          <w:highlight w:val="none"/>
        </w:rPr>
      </w:pPr>
    </w:p>
    <w:p w14:paraId="632E6D5C">
      <w:pPr>
        <w:spacing w:line="480" w:lineRule="exact"/>
        <w:jc w:val="center"/>
        <w:rPr>
          <w:rFonts w:eastAsia="黑体"/>
          <w:b/>
          <w:color w:val="auto"/>
          <w:sz w:val="44"/>
          <w:highlight w:val="none"/>
        </w:rPr>
      </w:pPr>
    </w:p>
    <w:p w14:paraId="3B46E72E">
      <w:pPr>
        <w:spacing w:line="480" w:lineRule="exact"/>
        <w:jc w:val="center"/>
        <w:rPr>
          <w:rFonts w:eastAsia="黑体"/>
          <w:b/>
          <w:color w:val="auto"/>
          <w:sz w:val="44"/>
          <w:highlight w:val="none"/>
        </w:rPr>
      </w:pPr>
    </w:p>
    <w:p w14:paraId="6154DBA6">
      <w:pPr>
        <w:spacing w:line="480" w:lineRule="exact"/>
        <w:jc w:val="center"/>
        <w:rPr>
          <w:rFonts w:eastAsia="黑体"/>
          <w:b/>
          <w:color w:val="auto"/>
          <w:sz w:val="44"/>
          <w:highlight w:val="none"/>
        </w:rPr>
      </w:pPr>
    </w:p>
    <w:p w14:paraId="32043286">
      <w:pPr>
        <w:spacing w:line="480" w:lineRule="exact"/>
        <w:jc w:val="center"/>
        <w:outlineLvl w:val="0"/>
        <w:rPr>
          <w:rFonts w:eastAsia="黑体"/>
          <w:b/>
          <w:color w:val="auto"/>
          <w:sz w:val="44"/>
          <w:highlight w:val="none"/>
        </w:rPr>
      </w:pPr>
      <w:r>
        <w:rPr>
          <w:rFonts w:hint="eastAsia" w:eastAsia="黑体"/>
          <w:b/>
          <w:color w:val="auto"/>
          <w:sz w:val="44"/>
          <w:highlight w:val="none"/>
        </w:rPr>
        <w:t>第六部分  投标文件格式</w:t>
      </w:r>
    </w:p>
    <w:p w14:paraId="5E8D7F8A">
      <w:pPr>
        <w:spacing w:line="480" w:lineRule="exact"/>
        <w:jc w:val="center"/>
        <w:outlineLvl w:val="0"/>
        <w:rPr>
          <w:b/>
          <w:color w:val="auto"/>
          <w:spacing w:val="100"/>
          <w:w w:val="110"/>
          <w:sz w:val="44"/>
          <w:szCs w:val="44"/>
          <w:highlight w:val="none"/>
          <w:u w:val="single"/>
        </w:rPr>
      </w:pPr>
      <w:r>
        <w:rPr>
          <w:b/>
          <w:color w:val="auto"/>
          <w:sz w:val="30"/>
          <w:highlight w:val="none"/>
        </w:rPr>
        <w:br w:type="page"/>
      </w:r>
    </w:p>
    <w:p w14:paraId="24E3CC3C">
      <w:pPr>
        <w:tabs>
          <w:tab w:val="left" w:pos="1260"/>
        </w:tabs>
        <w:jc w:val="center"/>
        <w:rPr>
          <w:rFonts w:ascii="Times New Roman" w:hAnsi="Times New Roman"/>
          <w:b/>
          <w:color w:val="auto"/>
          <w:spacing w:val="100"/>
          <w:w w:val="110"/>
          <w:kern w:val="0"/>
          <w:sz w:val="44"/>
          <w:szCs w:val="44"/>
          <w:highlight w:val="none"/>
          <w:u w:val="single"/>
        </w:rPr>
      </w:pPr>
    </w:p>
    <w:p w14:paraId="7AE30675">
      <w:pPr>
        <w:tabs>
          <w:tab w:val="left" w:pos="1260"/>
        </w:tabs>
        <w:jc w:val="center"/>
        <w:rPr>
          <w:rFonts w:ascii="Times New Roman" w:hAnsi="Times New Roman"/>
          <w:b/>
          <w:color w:val="auto"/>
          <w:spacing w:val="100"/>
          <w:w w:val="110"/>
          <w:kern w:val="0"/>
          <w:sz w:val="44"/>
          <w:szCs w:val="44"/>
          <w:highlight w:val="none"/>
          <w:u w:val="single"/>
        </w:rPr>
      </w:pPr>
    </w:p>
    <w:p w14:paraId="54A3610B">
      <w:pPr>
        <w:tabs>
          <w:tab w:val="left" w:pos="1260"/>
        </w:tabs>
        <w:jc w:val="center"/>
        <w:rPr>
          <w:rFonts w:ascii="Times New Roman" w:hAnsi="Times New Roman"/>
          <w:b/>
          <w:color w:val="auto"/>
          <w:spacing w:val="100"/>
          <w:w w:val="110"/>
          <w:kern w:val="0"/>
          <w:sz w:val="44"/>
          <w:szCs w:val="44"/>
          <w:highlight w:val="none"/>
          <w:u w:val="single"/>
        </w:rPr>
      </w:pPr>
    </w:p>
    <w:p w14:paraId="044D030D">
      <w:pPr>
        <w:tabs>
          <w:tab w:val="left" w:pos="1260"/>
        </w:tabs>
        <w:jc w:val="center"/>
        <w:rPr>
          <w:rFonts w:ascii="Times New Roman" w:hAnsi="Times New Roman"/>
          <w:b/>
          <w:color w:val="auto"/>
          <w:spacing w:val="100"/>
          <w:w w:val="110"/>
          <w:kern w:val="0"/>
          <w:sz w:val="44"/>
          <w:szCs w:val="44"/>
          <w:highlight w:val="none"/>
        </w:rPr>
      </w:pPr>
      <w:r>
        <w:rPr>
          <w:rFonts w:hint="eastAsia" w:ascii="Times New Roman" w:hAnsi="Times New Roman"/>
          <w:b/>
          <w:color w:val="auto"/>
          <w:spacing w:val="100"/>
          <w:w w:val="110"/>
          <w:kern w:val="0"/>
          <w:sz w:val="44"/>
          <w:szCs w:val="44"/>
          <w:highlight w:val="none"/>
          <w:u w:val="single"/>
        </w:rPr>
        <w:t xml:space="preserve">       </w:t>
      </w:r>
      <w:r>
        <w:rPr>
          <w:rFonts w:hint="eastAsia" w:ascii="Times New Roman" w:hAnsi="Times New Roman"/>
          <w:b/>
          <w:color w:val="auto"/>
          <w:spacing w:val="100"/>
          <w:w w:val="110"/>
          <w:kern w:val="0"/>
          <w:sz w:val="44"/>
          <w:szCs w:val="44"/>
          <w:highlight w:val="none"/>
        </w:rPr>
        <w:t>项目</w:t>
      </w:r>
    </w:p>
    <w:p w14:paraId="6959395F">
      <w:pPr>
        <w:jc w:val="center"/>
        <w:rPr>
          <w:rFonts w:ascii="Times New Roman" w:hAnsi="Times New Roman"/>
          <w:b/>
          <w:color w:val="auto"/>
          <w:kern w:val="0"/>
          <w:sz w:val="44"/>
          <w:szCs w:val="44"/>
          <w:highlight w:val="none"/>
        </w:rPr>
      </w:pPr>
    </w:p>
    <w:p w14:paraId="2C5C9E7E">
      <w:pPr>
        <w:jc w:val="center"/>
        <w:rPr>
          <w:rFonts w:ascii="Times New Roman" w:hAnsi="Times New Roman"/>
          <w:b/>
          <w:color w:val="auto"/>
          <w:kern w:val="0"/>
          <w:sz w:val="44"/>
          <w:szCs w:val="44"/>
          <w:highlight w:val="none"/>
        </w:rPr>
      </w:pPr>
    </w:p>
    <w:p w14:paraId="468F59ED">
      <w:pPr>
        <w:jc w:val="center"/>
        <w:rPr>
          <w:rFonts w:ascii="Times New Roman" w:hAnsi="Times New Roman"/>
          <w:b/>
          <w:color w:val="auto"/>
          <w:kern w:val="0"/>
          <w:sz w:val="44"/>
          <w:szCs w:val="44"/>
          <w:highlight w:val="none"/>
        </w:rPr>
      </w:pPr>
    </w:p>
    <w:p w14:paraId="60DDD8BF">
      <w:pPr>
        <w:tabs>
          <w:tab w:val="left" w:pos="1260"/>
        </w:tabs>
        <w:jc w:val="center"/>
        <w:rPr>
          <w:rFonts w:ascii="Times New Roman" w:hAnsi="Times New Roman"/>
          <w:b/>
          <w:color w:val="auto"/>
          <w:spacing w:val="100"/>
          <w:w w:val="110"/>
          <w:kern w:val="0"/>
          <w:sz w:val="44"/>
          <w:szCs w:val="44"/>
          <w:highlight w:val="none"/>
        </w:rPr>
      </w:pPr>
      <w:r>
        <w:rPr>
          <w:rFonts w:hint="eastAsia" w:ascii="Times New Roman" w:hAnsi="Times New Roman"/>
          <w:b/>
          <w:color w:val="auto"/>
          <w:spacing w:val="100"/>
          <w:w w:val="110"/>
          <w:kern w:val="0"/>
          <w:sz w:val="44"/>
          <w:szCs w:val="44"/>
          <w:highlight w:val="none"/>
        </w:rPr>
        <w:t>投标文件</w:t>
      </w:r>
    </w:p>
    <w:p w14:paraId="669755F6">
      <w:pPr>
        <w:jc w:val="center"/>
        <w:rPr>
          <w:rFonts w:ascii="Times New Roman" w:hAnsi="Times New Roman"/>
          <w:b/>
          <w:color w:val="auto"/>
          <w:kern w:val="0"/>
          <w:sz w:val="44"/>
          <w:szCs w:val="44"/>
          <w:highlight w:val="none"/>
        </w:rPr>
      </w:pPr>
    </w:p>
    <w:p w14:paraId="27405614">
      <w:pPr>
        <w:jc w:val="center"/>
        <w:rPr>
          <w:rFonts w:ascii="Times New Roman" w:hAnsi="Times New Roman"/>
          <w:b/>
          <w:color w:val="auto"/>
          <w:kern w:val="0"/>
          <w:sz w:val="44"/>
          <w:szCs w:val="44"/>
          <w:highlight w:val="none"/>
        </w:rPr>
      </w:pPr>
    </w:p>
    <w:p w14:paraId="00646ACA">
      <w:pPr>
        <w:jc w:val="center"/>
        <w:rPr>
          <w:rFonts w:ascii="Times New Roman" w:hAnsi="Times New Roman"/>
          <w:b/>
          <w:color w:val="auto"/>
          <w:kern w:val="0"/>
          <w:sz w:val="44"/>
          <w:szCs w:val="44"/>
          <w:highlight w:val="none"/>
        </w:rPr>
      </w:pPr>
    </w:p>
    <w:p w14:paraId="565ACE57">
      <w:pPr>
        <w:jc w:val="center"/>
        <w:rPr>
          <w:rFonts w:ascii="Times New Roman" w:hAnsi="Times New Roman"/>
          <w:b/>
          <w:color w:val="auto"/>
          <w:kern w:val="0"/>
          <w:sz w:val="44"/>
          <w:szCs w:val="44"/>
          <w:highlight w:val="none"/>
        </w:rPr>
      </w:pPr>
    </w:p>
    <w:p w14:paraId="2DD005CB">
      <w:pPr>
        <w:jc w:val="center"/>
        <w:rPr>
          <w:rFonts w:ascii="Times New Roman" w:hAnsi="Times New Roman"/>
          <w:b/>
          <w:color w:val="auto"/>
          <w:kern w:val="0"/>
          <w:sz w:val="44"/>
          <w:szCs w:val="44"/>
          <w:highlight w:val="none"/>
        </w:rPr>
      </w:pPr>
    </w:p>
    <w:p w14:paraId="512CF927">
      <w:pPr>
        <w:spacing w:line="360" w:lineRule="auto"/>
        <w:ind w:firstLine="1259" w:firstLineChars="448"/>
        <w:rPr>
          <w:rFonts w:ascii="Times New Roman" w:hAnsi="Times New Roman"/>
          <w:b/>
          <w:color w:val="auto"/>
          <w:kern w:val="0"/>
          <w:sz w:val="28"/>
          <w:szCs w:val="28"/>
          <w:highlight w:val="none"/>
          <w:u w:val="single"/>
        </w:rPr>
      </w:pPr>
      <w:r>
        <w:rPr>
          <w:rFonts w:hint="eastAsia" w:ascii="Times New Roman" w:hAnsi="Times New Roman"/>
          <w:b/>
          <w:color w:val="auto"/>
          <w:kern w:val="0"/>
          <w:sz w:val="28"/>
          <w:szCs w:val="28"/>
          <w:highlight w:val="none"/>
        </w:rPr>
        <w:t>招标项目编号：</w:t>
      </w:r>
      <w:r>
        <w:rPr>
          <w:rFonts w:hint="eastAsia" w:ascii="Times New Roman" w:hAnsi="Times New Roman"/>
          <w:b/>
          <w:color w:val="auto"/>
          <w:kern w:val="0"/>
          <w:sz w:val="28"/>
          <w:szCs w:val="28"/>
          <w:highlight w:val="none"/>
          <w:u w:val="single"/>
        </w:rPr>
        <w:t xml:space="preserve">                       </w:t>
      </w:r>
    </w:p>
    <w:p w14:paraId="21D24677">
      <w:pPr>
        <w:spacing w:line="360" w:lineRule="auto"/>
        <w:ind w:firstLine="1259" w:firstLineChars="448"/>
        <w:rPr>
          <w:rFonts w:ascii="Times New Roman" w:hAnsi="Times New Roman"/>
          <w:b/>
          <w:color w:val="auto"/>
          <w:kern w:val="0"/>
          <w:sz w:val="28"/>
          <w:szCs w:val="28"/>
          <w:highlight w:val="none"/>
          <w:u w:val="single"/>
        </w:rPr>
      </w:pPr>
      <w:r>
        <w:rPr>
          <w:rFonts w:hint="eastAsia" w:ascii="Times New Roman" w:hAnsi="Times New Roman"/>
          <w:b/>
          <w:color w:val="auto"/>
          <w:kern w:val="0"/>
          <w:sz w:val="28"/>
          <w:szCs w:val="28"/>
          <w:highlight w:val="none"/>
        </w:rPr>
        <w:t>项目名称：</w:t>
      </w:r>
      <w:r>
        <w:rPr>
          <w:rFonts w:hint="eastAsia" w:ascii="Times New Roman" w:hAnsi="Times New Roman"/>
          <w:b/>
          <w:color w:val="auto"/>
          <w:kern w:val="0"/>
          <w:sz w:val="28"/>
          <w:szCs w:val="28"/>
          <w:highlight w:val="none"/>
          <w:u w:val="single"/>
        </w:rPr>
        <w:t xml:space="preserve">                       </w:t>
      </w:r>
    </w:p>
    <w:p w14:paraId="0B2381C9">
      <w:pPr>
        <w:ind w:firstLine="1439" w:firstLineChars="512"/>
        <w:rPr>
          <w:rFonts w:ascii="Times New Roman" w:hAnsi="Times New Roman"/>
          <w:b/>
          <w:color w:val="auto"/>
          <w:kern w:val="0"/>
          <w:sz w:val="28"/>
          <w:szCs w:val="28"/>
          <w:highlight w:val="none"/>
        </w:rPr>
      </w:pPr>
    </w:p>
    <w:p w14:paraId="2139497C">
      <w:pPr>
        <w:ind w:firstLine="2262" w:firstLineChars="512"/>
        <w:rPr>
          <w:rFonts w:ascii="Times New Roman" w:hAnsi="Times New Roman"/>
          <w:b/>
          <w:color w:val="auto"/>
          <w:kern w:val="0"/>
          <w:sz w:val="44"/>
          <w:szCs w:val="44"/>
          <w:highlight w:val="none"/>
        </w:rPr>
      </w:pPr>
    </w:p>
    <w:p w14:paraId="74C3F910">
      <w:pPr>
        <w:spacing w:line="360" w:lineRule="auto"/>
        <w:ind w:firstLine="1439" w:firstLineChars="512"/>
        <w:rPr>
          <w:rFonts w:ascii="Times New Roman" w:hAnsi="Times New Roman"/>
          <w:b/>
          <w:color w:val="auto"/>
          <w:kern w:val="0"/>
          <w:sz w:val="28"/>
          <w:szCs w:val="28"/>
          <w:highlight w:val="none"/>
          <w:u w:val="single"/>
        </w:rPr>
      </w:pPr>
      <w:r>
        <w:rPr>
          <w:rFonts w:hint="eastAsia" w:ascii="Times New Roman" w:hAnsi="Times New Roman"/>
          <w:b/>
          <w:color w:val="auto"/>
          <w:kern w:val="0"/>
          <w:sz w:val="28"/>
          <w:szCs w:val="28"/>
          <w:highlight w:val="none"/>
        </w:rPr>
        <w:t>投标人名称：</w:t>
      </w:r>
      <w:r>
        <w:rPr>
          <w:rFonts w:hint="eastAsia" w:ascii="Times New Roman" w:hAnsi="Times New Roman"/>
          <w:b/>
          <w:color w:val="auto"/>
          <w:kern w:val="0"/>
          <w:sz w:val="28"/>
          <w:szCs w:val="28"/>
          <w:highlight w:val="none"/>
          <w:u w:val="single"/>
        </w:rPr>
        <w:t xml:space="preserve">                          </w:t>
      </w:r>
    </w:p>
    <w:p w14:paraId="2458B5CA">
      <w:pPr>
        <w:autoSpaceDE w:val="0"/>
        <w:autoSpaceDN w:val="0"/>
        <w:spacing w:line="240" w:lineRule="atLeast"/>
        <w:ind w:firstLine="1439" w:firstLineChars="512"/>
        <w:rPr>
          <w:rFonts w:hint="eastAsia"/>
          <w:b/>
          <w:color w:val="auto"/>
          <w:sz w:val="28"/>
          <w:szCs w:val="28"/>
          <w:highlight w:val="none"/>
        </w:rPr>
      </w:pPr>
      <w:r>
        <w:rPr>
          <w:rFonts w:hint="eastAsia"/>
          <w:b/>
          <w:color w:val="auto"/>
          <w:sz w:val="28"/>
          <w:szCs w:val="28"/>
          <w:highlight w:val="none"/>
        </w:rPr>
        <w:t>投标联系人：</w:t>
      </w:r>
    </w:p>
    <w:p w14:paraId="49AE1FE8">
      <w:pPr>
        <w:autoSpaceDE w:val="0"/>
        <w:autoSpaceDN w:val="0"/>
        <w:spacing w:line="240" w:lineRule="atLeast"/>
        <w:ind w:firstLine="1439" w:firstLineChars="512"/>
        <w:rPr>
          <w:rFonts w:hint="eastAsia"/>
          <w:b/>
          <w:color w:val="auto"/>
          <w:sz w:val="28"/>
          <w:szCs w:val="28"/>
          <w:highlight w:val="none"/>
        </w:rPr>
      </w:pPr>
      <w:r>
        <w:rPr>
          <w:rFonts w:hint="eastAsia"/>
          <w:b/>
          <w:color w:val="auto"/>
          <w:sz w:val="28"/>
          <w:szCs w:val="28"/>
          <w:highlight w:val="none"/>
        </w:rPr>
        <w:t>联系方式：</w:t>
      </w:r>
    </w:p>
    <w:p w14:paraId="4BBEEF90">
      <w:pPr>
        <w:autoSpaceDE w:val="0"/>
        <w:autoSpaceDN w:val="0"/>
        <w:spacing w:line="240" w:lineRule="atLeast"/>
        <w:ind w:firstLine="1439" w:firstLineChars="512"/>
        <w:rPr>
          <w:b/>
          <w:color w:val="auto"/>
          <w:sz w:val="28"/>
          <w:szCs w:val="28"/>
          <w:highlight w:val="none"/>
          <w:u w:val="single"/>
        </w:rPr>
      </w:pPr>
      <w:r>
        <w:rPr>
          <w:rFonts w:hint="eastAsia"/>
          <w:b/>
          <w:color w:val="auto"/>
          <w:sz w:val="28"/>
          <w:szCs w:val="28"/>
          <w:highlight w:val="none"/>
        </w:rPr>
        <w:t>日      期：</w:t>
      </w:r>
      <w:r>
        <w:rPr>
          <w:rFonts w:hint="eastAsia"/>
          <w:b/>
          <w:bCs w:val="0"/>
          <w:color w:val="auto"/>
          <w:sz w:val="28"/>
          <w:szCs w:val="28"/>
          <w:highlight w:val="none"/>
          <w:u w:val="single"/>
        </w:rPr>
        <w:t xml:space="preserve">          </w:t>
      </w:r>
      <w:r>
        <w:rPr>
          <w:rFonts w:hint="eastAsia"/>
          <w:b/>
          <w:bCs w:val="0"/>
          <w:color w:val="auto"/>
          <w:sz w:val="28"/>
          <w:szCs w:val="28"/>
          <w:highlight w:val="none"/>
        </w:rPr>
        <w:t>年</w:t>
      </w:r>
      <w:r>
        <w:rPr>
          <w:rFonts w:hint="eastAsia"/>
          <w:b/>
          <w:bCs w:val="0"/>
          <w:color w:val="auto"/>
          <w:sz w:val="28"/>
          <w:szCs w:val="28"/>
          <w:highlight w:val="none"/>
          <w:u w:val="single"/>
        </w:rPr>
        <w:t xml:space="preserve">     </w:t>
      </w:r>
      <w:r>
        <w:rPr>
          <w:rFonts w:hint="eastAsia"/>
          <w:b/>
          <w:bCs w:val="0"/>
          <w:color w:val="auto"/>
          <w:sz w:val="28"/>
          <w:szCs w:val="28"/>
          <w:highlight w:val="none"/>
        </w:rPr>
        <w:t>月</w:t>
      </w:r>
      <w:r>
        <w:rPr>
          <w:rFonts w:hint="eastAsia"/>
          <w:b/>
          <w:bCs w:val="0"/>
          <w:color w:val="auto"/>
          <w:sz w:val="28"/>
          <w:szCs w:val="28"/>
          <w:highlight w:val="none"/>
          <w:u w:val="single"/>
        </w:rPr>
        <w:t xml:space="preserve">     </w:t>
      </w:r>
      <w:r>
        <w:rPr>
          <w:rFonts w:hint="eastAsia"/>
          <w:b/>
          <w:bCs w:val="0"/>
          <w:color w:val="auto"/>
          <w:sz w:val="28"/>
          <w:szCs w:val="28"/>
          <w:highlight w:val="none"/>
        </w:rPr>
        <w:t>日</w:t>
      </w:r>
    </w:p>
    <w:p w14:paraId="0124EC5E">
      <w:pPr>
        <w:pStyle w:val="13"/>
        <w:rPr>
          <w:rFonts w:ascii="Times New Roman" w:hAnsi="Times New Roman"/>
          <w:b w:val="0"/>
          <w:bCs/>
          <w:color w:val="auto"/>
          <w:sz w:val="32"/>
          <w:szCs w:val="32"/>
          <w:highlight w:val="none"/>
        </w:rPr>
      </w:pPr>
      <w:r>
        <w:rPr>
          <w:color w:val="auto"/>
          <w:sz w:val="24"/>
          <w:szCs w:val="24"/>
          <w:highlight w:val="none"/>
        </w:rPr>
        <w:br w:type="page"/>
      </w:r>
      <w:bookmarkStart w:id="30" w:name="_Toc202819884"/>
      <w:bookmarkStart w:id="31" w:name="_Toc202254110"/>
      <w:bookmarkStart w:id="32" w:name="_Toc202251704"/>
      <w:bookmarkStart w:id="33" w:name="_Toc202817002"/>
      <w:bookmarkStart w:id="34" w:name="_Toc202251079"/>
      <w:bookmarkStart w:id="35" w:name="_Toc202252039"/>
      <w:bookmarkStart w:id="36" w:name="_Toc202820357"/>
      <w:r>
        <w:rPr>
          <w:rFonts w:hint="eastAsia" w:ascii="Times New Roman" w:hAnsi="Times New Roman"/>
          <w:bCs/>
          <w:color w:val="auto"/>
          <w:sz w:val="32"/>
          <w:szCs w:val="32"/>
          <w:highlight w:val="none"/>
        </w:rPr>
        <w:t>一、符合性自查表</w:t>
      </w:r>
      <w:bookmarkEnd w:id="30"/>
      <w:bookmarkEnd w:id="31"/>
      <w:bookmarkEnd w:id="32"/>
      <w:bookmarkEnd w:id="33"/>
      <w:bookmarkEnd w:id="34"/>
      <w:bookmarkEnd w:id="35"/>
      <w:bookmarkEnd w:id="36"/>
    </w:p>
    <w:p w14:paraId="78963E82">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1.1 符合性自查表</w:t>
      </w:r>
    </w:p>
    <w:tbl>
      <w:tblPr>
        <w:tblStyle w:val="22"/>
        <w:tblW w:w="9363" w:type="dxa"/>
        <w:jc w:val="center"/>
        <w:tblLayout w:type="fixed"/>
        <w:tblCellMar>
          <w:top w:w="0" w:type="dxa"/>
          <w:left w:w="0" w:type="dxa"/>
          <w:bottom w:w="0" w:type="dxa"/>
          <w:right w:w="0" w:type="dxa"/>
        </w:tblCellMar>
      </w:tblPr>
      <w:tblGrid>
        <w:gridCol w:w="827"/>
        <w:gridCol w:w="6409"/>
        <w:gridCol w:w="2127"/>
      </w:tblGrid>
      <w:tr w14:paraId="5A519FC6">
        <w:tblPrEx>
          <w:tblCellMar>
            <w:top w:w="0" w:type="dxa"/>
            <w:left w:w="0" w:type="dxa"/>
            <w:bottom w:w="0" w:type="dxa"/>
            <w:right w:w="0" w:type="dxa"/>
          </w:tblCellMar>
        </w:tblPrEx>
        <w:trPr>
          <w:trHeight w:val="522"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4E149279">
            <w:pPr>
              <w:ind w:left="40" w:leftChars="19"/>
              <w:jc w:val="center"/>
              <w:rPr>
                <w:rFonts w:hint="eastAsia" w:ascii="宋体" w:hAnsi="宋体"/>
                <w:bCs/>
                <w:color w:val="auto"/>
                <w:szCs w:val="21"/>
                <w:highlight w:val="none"/>
              </w:rPr>
            </w:pPr>
            <w:r>
              <w:rPr>
                <w:rFonts w:hint="eastAsia" w:ascii="宋体" w:hAnsi="宋体"/>
                <w:bCs/>
                <w:color w:val="auto"/>
                <w:szCs w:val="21"/>
                <w:highlight w:val="none"/>
              </w:rPr>
              <w:t>序号</w:t>
            </w:r>
          </w:p>
        </w:tc>
        <w:tc>
          <w:tcPr>
            <w:tcW w:w="6409" w:type="dxa"/>
            <w:tcBorders>
              <w:top w:val="single" w:color="auto" w:sz="4" w:space="0"/>
              <w:left w:val="single" w:color="auto" w:sz="4" w:space="0"/>
              <w:bottom w:val="single" w:color="auto" w:sz="4" w:space="0"/>
              <w:right w:val="single" w:color="auto" w:sz="4" w:space="0"/>
            </w:tcBorders>
            <w:noWrap/>
            <w:vAlign w:val="center"/>
          </w:tcPr>
          <w:p w14:paraId="4CA5CF5E">
            <w:pPr>
              <w:ind w:left="40" w:leftChars="19"/>
              <w:jc w:val="center"/>
              <w:rPr>
                <w:rFonts w:hint="eastAsia" w:ascii="宋体" w:hAnsi="宋体"/>
                <w:color w:val="auto"/>
                <w:szCs w:val="21"/>
                <w:highlight w:val="none"/>
              </w:rPr>
            </w:pPr>
            <w:r>
              <w:rPr>
                <w:rFonts w:hint="eastAsia" w:ascii="宋体" w:hAnsi="宋体"/>
                <w:bCs/>
                <w:color w:val="auto"/>
                <w:szCs w:val="21"/>
                <w:highlight w:val="none"/>
              </w:rPr>
              <w:t>招标文件要求</w:t>
            </w:r>
          </w:p>
          <w:p w14:paraId="7DA1F445">
            <w:pPr>
              <w:ind w:left="-171"/>
              <w:jc w:val="center"/>
              <w:rPr>
                <w:rFonts w:hint="eastAsia" w:ascii="宋体" w:hAnsi="宋体"/>
                <w:bCs/>
                <w:color w:val="auto"/>
                <w:szCs w:val="21"/>
                <w:highlight w:val="none"/>
              </w:rPr>
            </w:pPr>
            <w:r>
              <w:rPr>
                <w:rFonts w:hint="eastAsia" w:ascii="宋体" w:hAnsi="宋体"/>
                <w:color w:val="auto"/>
                <w:szCs w:val="21"/>
                <w:highlight w:val="none"/>
              </w:rPr>
              <w:t>（详见《</w:t>
            </w:r>
            <w:r>
              <w:rPr>
                <w:rFonts w:hint="eastAsia" w:ascii="宋体" w:hAnsi="宋体"/>
                <w:color w:val="auto"/>
                <w:szCs w:val="21"/>
                <w:highlight w:val="none"/>
                <w:lang w:eastAsia="zh-CN"/>
              </w:rPr>
              <w:t>符合性审查表</w:t>
            </w:r>
            <w:r>
              <w:rPr>
                <w:rFonts w:hint="eastAsia" w:ascii="宋体" w:hAnsi="宋体"/>
                <w:color w:val="auto"/>
                <w:szCs w:val="21"/>
                <w:highlight w:val="none"/>
              </w:rPr>
              <w:t>》各项）</w:t>
            </w:r>
          </w:p>
        </w:tc>
        <w:tc>
          <w:tcPr>
            <w:tcW w:w="2127" w:type="dxa"/>
            <w:tcBorders>
              <w:top w:val="single" w:color="auto" w:sz="4" w:space="0"/>
              <w:left w:val="nil"/>
              <w:bottom w:val="single" w:color="auto" w:sz="4" w:space="0"/>
              <w:right w:val="single" w:color="auto" w:sz="4" w:space="0"/>
            </w:tcBorders>
            <w:noWrap/>
            <w:vAlign w:val="center"/>
          </w:tcPr>
          <w:p w14:paraId="37F007DE">
            <w:pPr>
              <w:ind w:left="-171"/>
              <w:jc w:val="center"/>
              <w:rPr>
                <w:rFonts w:hint="eastAsia" w:ascii="宋体" w:hAnsi="宋体"/>
                <w:bCs/>
                <w:color w:val="auto"/>
                <w:szCs w:val="21"/>
                <w:highlight w:val="none"/>
              </w:rPr>
            </w:pPr>
            <w:r>
              <w:rPr>
                <w:rFonts w:hint="eastAsia" w:ascii="宋体" w:hAnsi="宋体"/>
                <w:bCs/>
                <w:color w:val="auto"/>
                <w:szCs w:val="21"/>
                <w:highlight w:val="none"/>
              </w:rPr>
              <w:t>自查结论</w:t>
            </w:r>
          </w:p>
        </w:tc>
      </w:tr>
      <w:tr w14:paraId="78FA64BF">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40732051">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1</w:t>
            </w:r>
          </w:p>
        </w:tc>
        <w:tc>
          <w:tcPr>
            <w:tcW w:w="6409" w:type="dxa"/>
            <w:tcBorders>
              <w:top w:val="single" w:color="auto" w:sz="4" w:space="0"/>
              <w:left w:val="single" w:color="auto" w:sz="4" w:space="0"/>
              <w:bottom w:val="single" w:color="auto" w:sz="4" w:space="0"/>
              <w:right w:val="single" w:color="auto" w:sz="4" w:space="0"/>
            </w:tcBorders>
            <w:vAlign w:val="center"/>
          </w:tcPr>
          <w:p w14:paraId="21CF0E0B">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投标人符合合格投标人的基本条件</w:t>
            </w:r>
          </w:p>
        </w:tc>
        <w:tc>
          <w:tcPr>
            <w:tcW w:w="2127" w:type="dxa"/>
            <w:tcBorders>
              <w:top w:val="single" w:color="auto" w:sz="4" w:space="0"/>
              <w:left w:val="nil"/>
              <w:bottom w:val="single" w:color="auto" w:sz="4" w:space="0"/>
              <w:right w:val="single" w:color="auto" w:sz="4" w:space="0"/>
            </w:tcBorders>
            <w:noWrap/>
            <w:vAlign w:val="center"/>
          </w:tcPr>
          <w:p w14:paraId="1343DA07">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33B01999">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4A35D08D">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2</w:t>
            </w:r>
          </w:p>
        </w:tc>
        <w:tc>
          <w:tcPr>
            <w:tcW w:w="6409" w:type="dxa"/>
            <w:tcBorders>
              <w:top w:val="single" w:color="auto" w:sz="4" w:space="0"/>
              <w:left w:val="single" w:color="auto" w:sz="4" w:space="0"/>
              <w:bottom w:val="single" w:color="auto" w:sz="4" w:space="0"/>
              <w:right w:val="single" w:color="auto" w:sz="4" w:space="0"/>
            </w:tcBorders>
            <w:vAlign w:val="center"/>
          </w:tcPr>
          <w:p w14:paraId="08A0A0A4">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投标函及投标有效期符合要求</w:t>
            </w:r>
          </w:p>
        </w:tc>
        <w:tc>
          <w:tcPr>
            <w:tcW w:w="2127" w:type="dxa"/>
            <w:tcBorders>
              <w:top w:val="single" w:color="auto" w:sz="4" w:space="0"/>
              <w:left w:val="nil"/>
              <w:bottom w:val="single" w:color="auto" w:sz="4" w:space="0"/>
              <w:right w:val="single" w:color="auto" w:sz="4" w:space="0"/>
            </w:tcBorders>
            <w:noWrap/>
            <w:vAlign w:val="center"/>
          </w:tcPr>
          <w:p w14:paraId="6952B60C">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1B255115">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5FD3D2D0">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3</w:t>
            </w:r>
          </w:p>
        </w:tc>
        <w:tc>
          <w:tcPr>
            <w:tcW w:w="6409" w:type="dxa"/>
            <w:tcBorders>
              <w:top w:val="single" w:color="auto" w:sz="4" w:space="0"/>
              <w:left w:val="single" w:color="auto" w:sz="4" w:space="0"/>
              <w:bottom w:val="single" w:color="auto" w:sz="4" w:space="0"/>
              <w:right w:val="single" w:color="auto" w:sz="4" w:space="0"/>
            </w:tcBorders>
            <w:vAlign w:val="center"/>
          </w:tcPr>
          <w:p w14:paraId="63A1B3E0">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已提交有效的法定代表人</w:t>
            </w:r>
            <w:r>
              <w:rPr>
                <w:rFonts w:ascii="宋体" w:hAnsi="宋体"/>
                <w:color w:val="auto"/>
                <w:szCs w:val="21"/>
                <w:highlight w:val="none"/>
              </w:rPr>
              <w:t>/负责人授权委托书（投标签字代表为授权代表时）</w:t>
            </w:r>
          </w:p>
        </w:tc>
        <w:tc>
          <w:tcPr>
            <w:tcW w:w="2127" w:type="dxa"/>
            <w:tcBorders>
              <w:top w:val="single" w:color="auto" w:sz="4" w:space="0"/>
              <w:left w:val="nil"/>
              <w:bottom w:val="single" w:color="auto" w:sz="4" w:space="0"/>
              <w:right w:val="single" w:color="auto" w:sz="4" w:space="0"/>
            </w:tcBorders>
            <w:noWrap/>
            <w:vAlign w:val="center"/>
          </w:tcPr>
          <w:p w14:paraId="5A2641BE">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6BCA1FAF">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79EC6098">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4</w:t>
            </w:r>
          </w:p>
        </w:tc>
        <w:tc>
          <w:tcPr>
            <w:tcW w:w="6409" w:type="dxa"/>
            <w:tcBorders>
              <w:top w:val="single" w:color="auto" w:sz="4" w:space="0"/>
              <w:left w:val="single" w:color="auto" w:sz="4" w:space="0"/>
              <w:bottom w:val="single" w:color="auto" w:sz="4" w:space="0"/>
              <w:right w:val="single" w:color="auto" w:sz="4" w:space="0"/>
            </w:tcBorders>
            <w:vAlign w:val="center"/>
          </w:tcPr>
          <w:p w14:paraId="6D236577">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投标保证金符合要求</w:t>
            </w:r>
          </w:p>
        </w:tc>
        <w:tc>
          <w:tcPr>
            <w:tcW w:w="2127" w:type="dxa"/>
            <w:tcBorders>
              <w:top w:val="single" w:color="auto" w:sz="4" w:space="0"/>
              <w:left w:val="nil"/>
              <w:bottom w:val="single" w:color="auto" w:sz="4" w:space="0"/>
              <w:right w:val="single" w:color="auto" w:sz="4" w:space="0"/>
            </w:tcBorders>
            <w:noWrap/>
            <w:vAlign w:val="center"/>
          </w:tcPr>
          <w:p w14:paraId="179EC5E6">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546BC93B">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717C1DB5">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5</w:t>
            </w:r>
          </w:p>
        </w:tc>
        <w:tc>
          <w:tcPr>
            <w:tcW w:w="6409" w:type="dxa"/>
            <w:tcBorders>
              <w:top w:val="single" w:color="auto" w:sz="4" w:space="0"/>
              <w:left w:val="single" w:color="auto" w:sz="4" w:space="0"/>
              <w:bottom w:val="single" w:color="auto" w:sz="4" w:space="0"/>
              <w:right w:val="single" w:color="auto" w:sz="4" w:space="0"/>
            </w:tcBorders>
            <w:vAlign w:val="center"/>
          </w:tcPr>
          <w:p w14:paraId="4BC8AE4A">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投标报价无重大漏项或重大不合理，且不高于最高限价</w:t>
            </w:r>
          </w:p>
        </w:tc>
        <w:tc>
          <w:tcPr>
            <w:tcW w:w="2127" w:type="dxa"/>
            <w:tcBorders>
              <w:top w:val="single" w:color="auto" w:sz="4" w:space="0"/>
              <w:left w:val="nil"/>
              <w:bottom w:val="single" w:color="auto" w:sz="4" w:space="0"/>
              <w:right w:val="single" w:color="auto" w:sz="4" w:space="0"/>
            </w:tcBorders>
            <w:noWrap/>
            <w:vAlign w:val="center"/>
          </w:tcPr>
          <w:p w14:paraId="585018C1">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1E3E0E53">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20C1C27C">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6</w:t>
            </w:r>
          </w:p>
        </w:tc>
        <w:tc>
          <w:tcPr>
            <w:tcW w:w="6409" w:type="dxa"/>
            <w:tcBorders>
              <w:top w:val="single" w:color="auto" w:sz="4" w:space="0"/>
              <w:left w:val="single" w:color="auto" w:sz="4" w:space="0"/>
              <w:bottom w:val="single" w:color="auto" w:sz="4" w:space="0"/>
              <w:right w:val="single" w:color="auto" w:sz="4" w:space="0"/>
            </w:tcBorders>
            <w:vAlign w:val="center"/>
          </w:tcPr>
          <w:p w14:paraId="6CDC2F71">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投标人无递交两份或多份内容不同的投标文件，或在一份投标文件中对同一招标货物有两个或多个报价，且未声明哪个为最终报价的（招标文件规定提交备选投标方案的除外）</w:t>
            </w:r>
          </w:p>
        </w:tc>
        <w:tc>
          <w:tcPr>
            <w:tcW w:w="2127" w:type="dxa"/>
            <w:tcBorders>
              <w:top w:val="single" w:color="auto" w:sz="4" w:space="0"/>
              <w:left w:val="nil"/>
              <w:bottom w:val="single" w:color="auto" w:sz="4" w:space="0"/>
              <w:right w:val="single" w:color="auto" w:sz="4" w:space="0"/>
            </w:tcBorders>
            <w:noWrap/>
            <w:vAlign w:val="center"/>
          </w:tcPr>
          <w:p w14:paraId="1979DB8C">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42067679">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209114B0">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7</w:t>
            </w:r>
          </w:p>
        </w:tc>
        <w:tc>
          <w:tcPr>
            <w:tcW w:w="6409" w:type="dxa"/>
            <w:tcBorders>
              <w:top w:val="single" w:color="auto" w:sz="4" w:space="0"/>
              <w:left w:val="single" w:color="auto" w:sz="4" w:space="0"/>
              <w:bottom w:val="single" w:color="auto" w:sz="4" w:space="0"/>
              <w:right w:val="single" w:color="auto" w:sz="4" w:space="0"/>
            </w:tcBorders>
            <w:vAlign w:val="center"/>
          </w:tcPr>
          <w:p w14:paraId="1EAA1681">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单位负责人为同一人或者存在控股、管理关系的不同单位，不得同时参加本项目投标</w:t>
            </w:r>
          </w:p>
        </w:tc>
        <w:tc>
          <w:tcPr>
            <w:tcW w:w="2127" w:type="dxa"/>
            <w:tcBorders>
              <w:top w:val="single" w:color="auto" w:sz="4" w:space="0"/>
              <w:left w:val="nil"/>
              <w:bottom w:val="single" w:color="auto" w:sz="4" w:space="0"/>
              <w:right w:val="single" w:color="auto" w:sz="4" w:space="0"/>
            </w:tcBorders>
            <w:noWrap/>
            <w:vAlign w:val="center"/>
          </w:tcPr>
          <w:p w14:paraId="2ADF73D3">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1B07E54E">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1411801F">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8</w:t>
            </w:r>
          </w:p>
        </w:tc>
        <w:tc>
          <w:tcPr>
            <w:tcW w:w="6409" w:type="dxa"/>
            <w:tcBorders>
              <w:top w:val="single" w:color="auto" w:sz="4" w:space="0"/>
              <w:left w:val="single" w:color="auto" w:sz="4" w:space="0"/>
              <w:bottom w:val="single" w:color="auto" w:sz="4" w:space="0"/>
              <w:right w:val="single" w:color="auto" w:sz="4" w:space="0"/>
            </w:tcBorders>
            <w:vAlign w:val="center"/>
          </w:tcPr>
          <w:p w14:paraId="5F3B37E8">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加星号（★）条款满足要求</w:t>
            </w:r>
          </w:p>
        </w:tc>
        <w:tc>
          <w:tcPr>
            <w:tcW w:w="2127" w:type="dxa"/>
            <w:tcBorders>
              <w:top w:val="single" w:color="auto" w:sz="4" w:space="0"/>
              <w:left w:val="nil"/>
              <w:bottom w:val="single" w:color="auto" w:sz="4" w:space="0"/>
              <w:right w:val="single" w:color="auto" w:sz="4" w:space="0"/>
            </w:tcBorders>
            <w:noWrap/>
            <w:vAlign w:val="center"/>
          </w:tcPr>
          <w:p w14:paraId="656BD3BA">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1F816ECA">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53B6C9D3">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9</w:t>
            </w:r>
          </w:p>
        </w:tc>
        <w:tc>
          <w:tcPr>
            <w:tcW w:w="6409" w:type="dxa"/>
            <w:tcBorders>
              <w:top w:val="single" w:color="auto" w:sz="4" w:space="0"/>
              <w:left w:val="single" w:color="auto" w:sz="4" w:space="0"/>
              <w:bottom w:val="single" w:color="auto" w:sz="4" w:space="0"/>
              <w:right w:val="single" w:color="auto" w:sz="4" w:space="0"/>
            </w:tcBorders>
            <w:vAlign w:val="center"/>
          </w:tcPr>
          <w:p w14:paraId="606C78F0">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投标文件没有招标人不能接受的附加条件</w:t>
            </w:r>
          </w:p>
        </w:tc>
        <w:tc>
          <w:tcPr>
            <w:tcW w:w="2127" w:type="dxa"/>
            <w:tcBorders>
              <w:top w:val="single" w:color="auto" w:sz="4" w:space="0"/>
              <w:left w:val="nil"/>
              <w:bottom w:val="single" w:color="auto" w:sz="4" w:space="0"/>
              <w:right w:val="single" w:color="auto" w:sz="4" w:space="0"/>
            </w:tcBorders>
            <w:noWrap/>
            <w:vAlign w:val="center"/>
          </w:tcPr>
          <w:p w14:paraId="3DEEB3CB">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r w14:paraId="710A4873">
        <w:tblPrEx>
          <w:tblCellMar>
            <w:top w:w="0" w:type="dxa"/>
            <w:left w:w="0" w:type="dxa"/>
            <w:bottom w:w="0" w:type="dxa"/>
            <w:right w:w="0" w:type="dxa"/>
          </w:tblCellMar>
        </w:tblPrEx>
        <w:trPr>
          <w:trHeight w:val="510" w:hRule="atLeast"/>
          <w:jc w:val="center"/>
        </w:trPr>
        <w:tc>
          <w:tcPr>
            <w:tcW w:w="827" w:type="dxa"/>
            <w:tcBorders>
              <w:top w:val="single" w:color="auto" w:sz="4" w:space="0"/>
              <w:left w:val="single" w:color="auto" w:sz="4" w:space="0"/>
              <w:bottom w:val="single" w:color="auto" w:sz="4" w:space="0"/>
              <w:right w:val="single" w:color="auto" w:sz="4" w:space="0"/>
            </w:tcBorders>
            <w:vAlign w:val="center"/>
          </w:tcPr>
          <w:p w14:paraId="7196C5B2">
            <w:pPr>
              <w:ind w:left="40" w:leftChars="19" w:right="141" w:rightChars="67"/>
              <w:jc w:val="center"/>
              <w:rPr>
                <w:rFonts w:hint="eastAsia" w:ascii="宋体" w:hAnsi="宋体"/>
                <w:color w:val="auto"/>
                <w:szCs w:val="21"/>
                <w:highlight w:val="none"/>
              </w:rPr>
            </w:pPr>
            <w:r>
              <w:rPr>
                <w:rFonts w:ascii="宋体" w:hAnsi="宋体"/>
                <w:color w:val="auto"/>
                <w:szCs w:val="21"/>
                <w:highlight w:val="none"/>
              </w:rPr>
              <w:t>10</w:t>
            </w:r>
          </w:p>
        </w:tc>
        <w:tc>
          <w:tcPr>
            <w:tcW w:w="6409" w:type="dxa"/>
            <w:tcBorders>
              <w:top w:val="single" w:color="auto" w:sz="4" w:space="0"/>
              <w:left w:val="single" w:color="auto" w:sz="4" w:space="0"/>
              <w:bottom w:val="single" w:color="auto" w:sz="4" w:space="0"/>
              <w:right w:val="single" w:color="auto" w:sz="4" w:space="0"/>
            </w:tcBorders>
            <w:vAlign w:val="center"/>
          </w:tcPr>
          <w:p w14:paraId="406E4ADD">
            <w:pPr>
              <w:ind w:left="40" w:leftChars="19" w:right="141" w:rightChars="67"/>
              <w:rPr>
                <w:rFonts w:hint="eastAsia" w:ascii="宋体" w:hAnsi="宋体"/>
                <w:color w:val="auto"/>
                <w:szCs w:val="21"/>
                <w:highlight w:val="none"/>
              </w:rPr>
            </w:pPr>
            <w:r>
              <w:rPr>
                <w:rFonts w:hint="eastAsia" w:ascii="宋体" w:hAnsi="宋体"/>
                <w:color w:val="auto"/>
                <w:szCs w:val="21"/>
                <w:highlight w:val="none"/>
              </w:rPr>
              <w:t>无法规明确规定须废标的或招标文件禁止的情形</w:t>
            </w:r>
          </w:p>
        </w:tc>
        <w:tc>
          <w:tcPr>
            <w:tcW w:w="2127" w:type="dxa"/>
            <w:tcBorders>
              <w:top w:val="single" w:color="auto" w:sz="4" w:space="0"/>
              <w:left w:val="nil"/>
              <w:bottom w:val="single" w:color="auto" w:sz="4" w:space="0"/>
              <w:right w:val="single" w:color="auto" w:sz="4" w:space="0"/>
            </w:tcBorders>
            <w:noWrap/>
            <w:vAlign w:val="center"/>
          </w:tcPr>
          <w:p w14:paraId="189D03F2">
            <w:pPr>
              <w:ind w:left="-171"/>
              <w:jc w:val="center"/>
              <w:rPr>
                <w:rFonts w:hint="eastAsia" w:ascii="宋体" w:hAnsi="宋体"/>
                <w:color w:val="auto"/>
                <w:szCs w:val="21"/>
                <w:highlight w:val="none"/>
              </w:rPr>
            </w:pPr>
            <w:r>
              <w:rPr>
                <w:rFonts w:hint="eastAsia" w:ascii="宋体" w:hAnsi="宋体"/>
                <w:color w:val="auto"/>
                <w:szCs w:val="21"/>
                <w:highlight w:val="none"/>
              </w:rPr>
              <w:t>□满足 □不满足</w:t>
            </w:r>
          </w:p>
        </w:tc>
      </w:tr>
    </w:tbl>
    <w:p w14:paraId="7B54C560">
      <w:pPr>
        <w:spacing w:after="120" w:line="360" w:lineRule="exact"/>
        <w:rPr>
          <w:color w:val="auto"/>
          <w:szCs w:val="21"/>
          <w:highlight w:val="none"/>
        </w:rPr>
      </w:pPr>
      <w:r>
        <w:rPr>
          <w:rFonts w:hint="eastAsia"/>
          <w:color w:val="auto"/>
          <w:szCs w:val="21"/>
          <w:highlight w:val="none"/>
        </w:rPr>
        <w:t>注：以上材料将作为投标人合格性和有效性审核的重要内容之一，投标人必须严格按照其内容及序列要求在投标文件中对应如实提供，对缺漏和不符合项将会直接导致无效投标！在对应的□打“√”。</w:t>
      </w:r>
    </w:p>
    <w:p w14:paraId="371B319E">
      <w:pPr>
        <w:adjustRightInd w:val="0"/>
        <w:snapToGrid w:val="0"/>
        <w:spacing w:line="300" w:lineRule="auto"/>
        <w:rPr>
          <w:color w:val="auto"/>
          <w:szCs w:val="21"/>
          <w:highlight w:val="none"/>
        </w:rPr>
      </w:pPr>
    </w:p>
    <w:p w14:paraId="379ED99F">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4988813A">
      <w:pPr>
        <w:spacing w:after="120" w:line="360" w:lineRule="exact"/>
        <w:jc w:val="left"/>
        <w:rPr>
          <w:color w:val="auto"/>
          <w:szCs w:val="21"/>
          <w:highlight w:val="none"/>
        </w:rPr>
      </w:pPr>
      <w:r>
        <w:rPr>
          <w:rFonts w:hint="eastAsia"/>
          <w:color w:val="auto"/>
          <w:szCs w:val="21"/>
          <w:highlight w:val="none"/>
        </w:rPr>
        <w:t>日期：   年   月   日</w:t>
      </w:r>
    </w:p>
    <w:p w14:paraId="76CE2489">
      <w:pPr>
        <w:spacing w:after="120" w:line="360" w:lineRule="exact"/>
        <w:rPr>
          <w:color w:val="auto"/>
          <w:szCs w:val="21"/>
          <w:highlight w:val="none"/>
        </w:rPr>
      </w:pPr>
    </w:p>
    <w:p w14:paraId="6E276FEF">
      <w:pPr>
        <w:spacing w:after="120" w:line="360" w:lineRule="exact"/>
        <w:rPr>
          <w:color w:val="auto"/>
          <w:szCs w:val="21"/>
          <w:highlight w:val="none"/>
        </w:rPr>
      </w:pPr>
    </w:p>
    <w:p w14:paraId="571E006D">
      <w:pPr>
        <w:keepNext/>
        <w:keepLines/>
        <w:adjustRightInd w:val="0"/>
        <w:snapToGrid w:val="0"/>
        <w:spacing w:before="280" w:after="290"/>
        <w:outlineLvl w:val="3"/>
        <w:rPr>
          <w:rFonts w:ascii="Times New Roman" w:hAnsi="Times New Roman"/>
          <w:b/>
          <w:bCs/>
          <w:color w:val="auto"/>
          <w:kern w:val="0"/>
          <w:sz w:val="32"/>
          <w:szCs w:val="32"/>
          <w:highlight w:val="none"/>
        </w:rPr>
      </w:pPr>
      <w:r>
        <w:rPr>
          <w:color w:val="auto"/>
          <w:sz w:val="24"/>
          <w:szCs w:val="24"/>
          <w:highlight w:val="none"/>
        </w:rPr>
        <w:br w:type="page"/>
      </w:r>
    </w:p>
    <w:p w14:paraId="49C2105E">
      <w:pPr>
        <w:keepNext/>
        <w:keepLines/>
        <w:widowControl/>
        <w:spacing w:after="156" w:afterLines="50" w:line="413" w:lineRule="auto"/>
        <w:outlineLvl w:val="1"/>
        <w:rPr>
          <w:rFonts w:ascii="Times New Roman" w:hAnsi="Times New Roman"/>
          <w:b/>
          <w:bCs/>
          <w:color w:val="auto"/>
          <w:kern w:val="0"/>
          <w:sz w:val="32"/>
          <w:szCs w:val="32"/>
          <w:highlight w:val="none"/>
        </w:rPr>
      </w:pPr>
      <w:r>
        <w:rPr>
          <w:rFonts w:hint="eastAsia" w:ascii="Times New Roman" w:hAnsi="Times New Roman"/>
          <w:b/>
          <w:bCs/>
          <w:color w:val="auto"/>
          <w:kern w:val="0"/>
          <w:sz w:val="32"/>
          <w:szCs w:val="32"/>
          <w:highlight w:val="none"/>
        </w:rPr>
        <w:t>二、投标报价表</w:t>
      </w:r>
    </w:p>
    <w:p w14:paraId="47147C65">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2.1 投标报价总表</w:t>
      </w:r>
    </w:p>
    <w:p w14:paraId="4409E3B0">
      <w:pPr>
        <w:widowControl/>
        <w:adjustRightInd w:val="0"/>
        <w:snapToGrid w:val="0"/>
        <w:spacing w:line="360" w:lineRule="auto"/>
        <w:ind w:right="-32"/>
        <w:jc w:val="left"/>
        <w:rPr>
          <w:rFonts w:hint="eastAsia" w:ascii="宋体" w:hAnsi="宋体"/>
          <w:color w:val="auto"/>
          <w:kern w:val="0"/>
          <w:szCs w:val="21"/>
          <w:highlight w:val="none"/>
        </w:rPr>
      </w:pPr>
      <w:r>
        <w:rPr>
          <w:rFonts w:hint="eastAsia" w:ascii="宋体" w:hAnsi="宋体"/>
          <w:color w:val="auto"/>
          <w:kern w:val="0"/>
          <w:szCs w:val="21"/>
          <w:highlight w:val="none"/>
        </w:rPr>
        <w:t>项目名称：</w:t>
      </w:r>
    </w:p>
    <w:p w14:paraId="6654A215">
      <w:pPr>
        <w:widowControl/>
        <w:adjustRightInd w:val="0"/>
        <w:snapToGrid w:val="0"/>
        <w:spacing w:line="360" w:lineRule="auto"/>
        <w:ind w:right="-32"/>
        <w:jc w:val="left"/>
        <w:rPr>
          <w:rFonts w:hint="eastAsia" w:ascii="宋体" w:hAnsi="宋体"/>
          <w:color w:val="auto"/>
          <w:kern w:val="0"/>
          <w:szCs w:val="21"/>
          <w:highlight w:val="none"/>
        </w:rPr>
      </w:pPr>
      <w:r>
        <w:rPr>
          <w:rFonts w:hint="eastAsia" w:ascii="宋体" w:hAnsi="宋体"/>
          <w:color w:val="auto"/>
          <w:kern w:val="0"/>
          <w:szCs w:val="21"/>
          <w:highlight w:val="none"/>
          <w:lang w:val="en-US" w:eastAsia="zh-CN"/>
        </w:rPr>
        <w:t>项目</w:t>
      </w:r>
      <w:r>
        <w:rPr>
          <w:rFonts w:hint="eastAsia" w:ascii="宋体" w:hAnsi="宋体"/>
          <w:color w:val="auto"/>
          <w:kern w:val="0"/>
          <w:szCs w:val="21"/>
          <w:highlight w:val="none"/>
        </w:rPr>
        <w:t>编号：</w:t>
      </w:r>
    </w:p>
    <w:tbl>
      <w:tblPr>
        <w:tblStyle w:val="22"/>
        <w:tblW w:w="5125" w:type="pct"/>
        <w:jc w:val="center"/>
        <w:tblLayout w:type="autofit"/>
        <w:tblCellMar>
          <w:top w:w="0" w:type="dxa"/>
          <w:left w:w="30" w:type="dxa"/>
          <w:bottom w:w="0" w:type="dxa"/>
          <w:right w:w="30" w:type="dxa"/>
        </w:tblCellMar>
      </w:tblPr>
      <w:tblGrid>
        <w:gridCol w:w="3552"/>
        <w:gridCol w:w="6157"/>
      </w:tblGrid>
      <w:tr w14:paraId="72CD2B5B">
        <w:trPr>
          <w:cantSplit/>
          <w:trHeight w:val="737" w:hRule="atLeast"/>
          <w:jc w:val="center"/>
        </w:trPr>
        <w:tc>
          <w:tcPr>
            <w:tcW w:w="1829" w:type="pct"/>
            <w:tcBorders>
              <w:top w:val="single" w:color="auto" w:sz="6" w:space="0"/>
              <w:left w:val="single" w:color="auto" w:sz="6" w:space="0"/>
              <w:bottom w:val="nil"/>
              <w:right w:val="single" w:color="auto" w:sz="6" w:space="0"/>
            </w:tcBorders>
            <w:vAlign w:val="center"/>
          </w:tcPr>
          <w:p w14:paraId="3D68D72C">
            <w:pPr>
              <w:autoSpaceDE w:val="0"/>
              <w:autoSpaceDN w:val="0"/>
              <w:adjustRightInd w:val="0"/>
              <w:ind w:right="-32"/>
              <w:jc w:val="center"/>
              <w:rPr>
                <w:rFonts w:hint="eastAsia" w:ascii="宋体" w:hAnsi="宋体" w:eastAsia="宋体"/>
                <w:b/>
                <w:color w:val="auto"/>
                <w:szCs w:val="21"/>
                <w:highlight w:val="none"/>
                <w:lang w:eastAsia="zh-CN"/>
              </w:rPr>
            </w:pPr>
            <w:r>
              <w:rPr>
                <w:rFonts w:hint="eastAsia" w:ascii="宋体" w:hAnsi="宋体"/>
                <w:b/>
                <w:color w:val="auto"/>
                <w:szCs w:val="21"/>
                <w:highlight w:val="none"/>
                <w:lang w:eastAsia="zh-CN"/>
              </w:rPr>
              <w:t>报价</w:t>
            </w:r>
          </w:p>
        </w:tc>
        <w:tc>
          <w:tcPr>
            <w:tcW w:w="3170" w:type="pct"/>
            <w:tcBorders>
              <w:top w:val="single" w:color="auto" w:sz="6" w:space="0"/>
              <w:left w:val="single" w:color="auto" w:sz="6" w:space="0"/>
              <w:bottom w:val="single" w:color="auto" w:sz="6" w:space="0"/>
              <w:right w:val="single" w:color="auto" w:sz="6" w:space="0"/>
            </w:tcBorders>
            <w:vAlign w:val="center"/>
          </w:tcPr>
          <w:p w14:paraId="311724B4">
            <w:pPr>
              <w:autoSpaceDE w:val="0"/>
              <w:autoSpaceDN w:val="0"/>
              <w:adjustRightInd w:val="0"/>
              <w:ind w:right="-32"/>
              <w:jc w:val="center"/>
              <w:rPr>
                <w:rFonts w:hint="eastAsia" w:ascii="宋体" w:hAnsi="宋体"/>
                <w:b/>
                <w:color w:val="auto"/>
                <w:szCs w:val="21"/>
                <w:highlight w:val="none"/>
              </w:rPr>
            </w:pPr>
            <w:r>
              <w:rPr>
                <w:rFonts w:hint="eastAsia" w:ascii="宋体" w:hAnsi="宋体"/>
                <w:b/>
                <w:color w:val="auto"/>
                <w:szCs w:val="21"/>
                <w:highlight w:val="none"/>
              </w:rPr>
              <w:t>投标报价（含税，元）</w:t>
            </w:r>
          </w:p>
        </w:tc>
      </w:tr>
      <w:tr w14:paraId="40333E80">
        <w:tblPrEx>
          <w:tblCellMar>
            <w:top w:w="0" w:type="dxa"/>
            <w:left w:w="30" w:type="dxa"/>
            <w:bottom w:w="0" w:type="dxa"/>
            <w:right w:w="30" w:type="dxa"/>
          </w:tblCellMar>
        </w:tblPrEx>
        <w:trPr>
          <w:cantSplit/>
          <w:trHeight w:val="851" w:hRule="atLeast"/>
          <w:jc w:val="center"/>
        </w:trPr>
        <w:tc>
          <w:tcPr>
            <w:tcW w:w="1829" w:type="pct"/>
            <w:tcBorders>
              <w:top w:val="single" w:color="auto" w:sz="6" w:space="0"/>
              <w:left w:val="single" w:color="auto" w:sz="6" w:space="0"/>
              <w:bottom w:val="single" w:color="auto" w:sz="6" w:space="0"/>
              <w:right w:val="single" w:color="auto" w:sz="6" w:space="0"/>
            </w:tcBorders>
            <w:vAlign w:val="center"/>
          </w:tcPr>
          <w:p w14:paraId="3BEE52C7">
            <w:pPr>
              <w:autoSpaceDE w:val="0"/>
              <w:autoSpaceDN w:val="0"/>
              <w:adjustRightInd w:val="0"/>
              <w:snapToGrid w:val="0"/>
              <w:ind w:right="-32"/>
              <w:jc w:val="center"/>
              <w:rPr>
                <w:rFonts w:hint="eastAsia" w:ascii="宋体" w:hAnsi="宋体"/>
                <w:b/>
                <w:color w:val="auto"/>
                <w:szCs w:val="21"/>
                <w:highlight w:val="none"/>
              </w:rPr>
            </w:pPr>
            <w:r>
              <w:rPr>
                <w:rFonts w:hint="eastAsia" w:ascii="宋体" w:hAnsi="宋体"/>
                <w:b/>
                <w:color w:val="auto"/>
                <w:szCs w:val="21"/>
                <w:highlight w:val="none"/>
              </w:rPr>
              <w:t>投标总价</w:t>
            </w:r>
            <w:r>
              <w:rPr>
                <w:rFonts w:ascii="宋体" w:hAnsi="宋体"/>
                <w:b/>
                <w:color w:val="auto"/>
                <w:szCs w:val="21"/>
                <w:highlight w:val="none"/>
              </w:rPr>
              <w:br w:type="textWrapping"/>
            </w:r>
          </w:p>
        </w:tc>
        <w:tc>
          <w:tcPr>
            <w:tcW w:w="3170" w:type="pct"/>
            <w:tcBorders>
              <w:top w:val="single" w:color="auto" w:sz="6" w:space="0"/>
              <w:left w:val="single" w:color="auto" w:sz="6" w:space="0"/>
              <w:bottom w:val="single" w:color="auto" w:sz="6" w:space="0"/>
              <w:right w:val="single" w:color="auto" w:sz="6" w:space="0"/>
            </w:tcBorders>
            <w:vAlign w:val="center"/>
          </w:tcPr>
          <w:p w14:paraId="2C64F99B">
            <w:pPr>
              <w:autoSpaceDE w:val="0"/>
              <w:autoSpaceDN w:val="0"/>
              <w:adjustRightInd w:val="0"/>
              <w:ind w:right="-32"/>
              <w:rPr>
                <w:b/>
                <w:bCs/>
                <w:color w:val="auto"/>
                <w:szCs w:val="24"/>
                <w:highlight w:val="none"/>
              </w:rPr>
            </w:pPr>
            <w:r>
              <w:rPr>
                <w:rFonts w:hint="eastAsia"/>
                <w:b/>
                <w:bCs/>
                <w:color w:val="auto"/>
                <w:szCs w:val="24"/>
                <w:highlight w:val="none"/>
              </w:rPr>
              <w:t>大写：</w:t>
            </w:r>
          </w:p>
          <w:p w14:paraId="52A59C57">
            <w:pPr>
              <w:autoSpaceDE w:val="0"/>
              <w:autoSpaceDN w:val="0"/>
              <w:adjustRightInd w:val="0"/>
              <w:ind w:right="-32"/>
              <w:rPr>
                <w:b/>
                <w:bCs/>
                <w:color w:val="auto"/>
                <w:szCs w:val="24"/>
                <w:highlight w:val="none"/>
              </w:rPr>
            </w:pPr>
            <w:r>
              <w:rPr>
                <w:rFonts w:hint="eastAsia" w:ascii="宋体" w:hAnsi="宋体"/>
                <w:b/>
                <w:bCs/>
                <w:color w:val="auto"/>
                <w:szCs w:val="21"/>
                <w:highlight w:val="none"/>
                <w:lang w:val="zh-CN"/>
              </w:rPr>
              <w:t>小写：</w:t>
            </w:r>
          </w:p>
        </w:tc>
      </w:tr>
      <w:tr w14:paraId="4D1B5017">
        <w:tblPrEx>
          <w:tblCellMar>
            <w:top w:w="0" w:type="dxa"/>
            <w:left w:w="30" w:type="dxa"/>
            <w:bottom w:w="0" w:type="dxa"/>
            <w:right w:w="30" w:type="dxa"/>
          </w:tblCellMar>
        </w:tblPrEx>
        <w:trPr>
          <w:cantSplit/>
          <w:trHeight w:val="851" w:hRule="atLeast"/>
          <w:jc w:val="center"/>
        </w:trPr>
        <w:tc>
          <w:tcPr>
            <w:tcW w:w="1829" w:type="pct"/>
            <w:tcBorders>
              <w:top w:val="single" w:color="auto" w:sz="6" w:space="0"/>
              <w:left w:val="single" w:color="auto" w:sz="6" w:space="0"/>
              <w:bottom w:val="single" w:color="auto" w:sz="6" w:space="0"/>
              <w:right w:val="single" w:color="auto" w:sz="6" w:space="0"/>
            </w:tcBorders>
            <w:vAlign w:val="center"/>
          </w:tcPr>
          <w:p w14:paraId="2FAC99CA">
            <w:pPr>
              <w:autoSpaceDE w:val="0"/>
              <w:autoSpaceDN w:val="0"/>
              <w:adjustRightInd w:val="0"/>
              <w:snapToGrid w:val="0"/>
              <w:ind w:right="-32"/>
              <w:jc w:val="center"/>
              <w:rPr>
                <w:rFonts w:hint="eastAsia" w:ascii="宋体" w:hAnsi="宋体"/>
                <w:color w:val="auto"/>
                <w:szCs w:val="21"/>
                <w:highlight w:val="none"/>
              </w:rPr>
            </w:pPr>
            <w:r>
              <w:rPr>
                <w:rFonts w:ascii="宋体" w:hAnsi="宋体"/>
                <w:b/>
                <w:color w:val="auto"/>
                <w:szCs w:val="21"/>
                <w:highlight w:val="none"/>
              </w:rPr>
              <w:t>增值税税率</w:t>
            </w:r>
            <w:r>
              <w:rPr>
                <w:rFonts w:hint="eastAsia" w:ascii="宋体" w:hAnsi="宋体"/>
                <w:b/>
                <w:color w:val="auto"/>
                <w:szCs w:val="21"/>
                <w:highlight w:val="none"/>
              </w:rPr>
              <w:t>（</w:t>
            </w:r>
            <w:r>
              <w:rPr>
                <w:rFonts w:hint="eastAsia" w:ascii="宋体" w:hAnsi="宋体"/>
                <w:color w:val="auto"/>
                <w:szCs w:val="21"/>
                <w:highlight w:val="none"/>
              </w:rPr>
              <w:t>%</w:t>
            </w:r>
            <w:r>
              <w:rPr>
                <w:rFonts w:hint="eastAsia" w:ascii="宋体" w:hAnsi="宋体"/>
                <w:b/>
                <w:color w:val="auto"/>
                <w:szCs w:val="21"/>
                <w:highlight w:val="none"/>
              </w:rPr>
              <w:t>）</w:t>
            </w:r>
          </w:p>
        </w:tc>
        <w:tc>
          <w:tcPr>
            <w:tcW w:w="3170" w:type="pct"/>
            <w:tcBorders>
              <w:top w:val="single" w:color="auto" w:sz="6" w:space="0"/>
              <w:left w:val="single" w:color="auto" w:sz="6" w:space="0"/>
              <w:bottom w:val="single" w:color="auto" w:sz="6" w:space="0"/>
              <w:right w:val="single" w:color="auto" w:sz="6" w:space="0"/>
            </w:tcBorders>
            <w:vAlign w:val="center"/>
          </w:tcPr>
          <w:p w14:paraId="53835A87">
            <w:pPr>
              <w:autoSpaceDE w:val="0"/>
              <w:autoSpaceDN w:val="0"/>
              <w:adjustRightInd w:val="0"/>
              <w:ind w:right="-32"/>
              <w:rPr>
                <w:rFonts w:hint="eastAsia" w:ascii="宋体" w:hAnsi="宋体"/>
                <w:color w:val="auto"/>
                <w:szCs w:val="21"/>
                <w:highlight w:val="none"/>
              </w:rPr>
            </w:pPr>
          </w:p>
        </w:tc>
      </w:tr>
    </w:tbl>
    <w:p w14:paraId="57B7198F">
      <w:pPr>
        <w:snapToGrid w:val="0"/>
        <w:spacing w:line="360" w:lineRule="auto"/>
        <w:ind w:right="-32"/>
        <w:rPr>
          <w:rFonts w:hint="eastAsia" w:ascii="宋体" w:hAnsi="宋体" w:cs="宋体"/>
          <w:color w:val="auto"/>
          <w:kern w:val="0"/>
          <w:szCs w:val="21"/>
          <w:highlight w:val="none"/>
        </w:rPr>
      </w:pPr>
      <w:r>
        <w:rPr>
          <w:rFonts w:hint="eastAsia" w:ascii="宋体" w:hAnsi="宋体" w:cs="宋体"/>
          <w:color w:val="auto"/>
          <w:kern w:val="0"/>
          <w:szCs w:val="21"/>
          <w:highlight w:val="none"/>
        </w:rPr>
        <w:t>说明：</w:t>
      </w:r>
    </w:p>
    <w:p w14:paraId="0211D427">
      <w:pPr>
        <w:snapToGrid w:val="0"/>
        <w:spacing w:line="360" w:lineRule="auto"/>
        <w:ind w:right="-32"/>
        <w:rPr>
          <w:rFonts w:hint="eastAsia" w:ascii="宋体" w:hAnsi="宋体" w:cs="宋体"/>
          <w:color w:val="auto"/>
          <w:kern w:val="0"/>
          <w:szCs w:val="21"/>
          <w:highlight w:val="none"/>
        </w:rPr>
      </w:pPr>
      <w:r>
        <w:rPr>
          <w:rFonts w:hint="eastAsia" w:ascii="宋体" w:hAnsi="宋体" w:cs="宋体"/>
          <w:color w:val="auto"/>
          <w:kern w:val="0"/>
          <w:szCs w:val="21"/>
          <w:highlight w:val="none"/>
        </w:rPr>
        <w:t>投标总价</w:t>
      </w:r>
      <w:r>
        <w:rPr>
          <w:rFonts w:hint="eastAsia" w:hAnsi="宋体"/>
          <w:color w:val="auto"/>
          <w:szCs w:val="24"/>
          <w:highlight w:val="none"/>
        </w:rPr>
        <w:t>包含</w:t>
      </w:r>
      <w:r>
        <w:rPr>
          <w:rFonts w:hint="eastAsia" w:ascii="宋体" w:hAnsi="宋体" w:cs="宋体"/>
          <w:color w:val="auto"/>
          <w:kern w:val="0"/>
          <w:szCs w:val="21"/>
          <w:highlight w:val="none"/>
        </w:rPr>
        <w:t>本体及附配件的设计、制造、包装、运输（运至招标人指定现场）、验收、验收后的实物移交、技术服务（包括设计联络、技术资料、图纸的提供）、指导培训招标人相关工作人员对家具的日常清洁维保、质保期及质保期内维护保养及其他相关服务内容、增值税等。</w:t>
      </w:r>
    </w:p>
    <w:p w14:paraId="5C692E40">
      <w:pPr>
        <w:snapToGrid w:val="0"/>
        <w:spacing w:line="360" w:lineRule="auto"/>
        <w:ind w:right="-32"/>
        <w:rPr>
          <w:rFonts w:hint="eastAsia" w:ascii="宋体" w:hAnsi="宋体" w:cs="宋体"/>
          <w:color w:val="auto"/>
          <w:kern w:val="0"/>
          <w:szCs w:val="21"/>
          <w:highlight w:val="none"/>
        </w:rPr>
      </w:pPr>
    </w:p>
    <w:p w14:paraId="3C18EB0E">
      <w:pPr>
        <w:widowControl/>
        <w:adjustRightInd w:val="0"/>
        <w:snapToGrid w:val="0"/>
        <w:spacing w:line="360" w:lineRule="auto"/>
        <w:ind w:right="-32"/>
        <w:jc w:val="left"/>
        <w:rPr>
          <w:rFonts w:hint="eastAsia" w:ascii="宋体" w:hAnsi="宋体"/>
          <w:color w:val="auto"/>
          <w:kern w:val="0"/>
          <w:szCs w:val="21"/>
          <w:highlight w:val="none"/>
          <w:u w:val="single"/>
        </w:rPr>
      </w:pP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人名称：</w:t>
      </w:r>
      <w:r>
        <w:rPr>
          <w:rFonts w:hint="eastAsia" w:ascii="宋体" w:hAnsi="宋体"/>
          <w:color w:val="auto"/>
          <w:kern w:val="0"/>
          <w:szCs w:val="21"/>
          <w:highlight w:val="none"/>
          <w:u w:val="single"/>
        </w:rPr>
        <w:t xml:space="preserve">                        </w:t>
      </w:r>
    </w:p>
    <w:p w14:paraId="266967D3">
      <w:pPr>
        <w:snapToGrid w:val="0"/>
        <w:spacing w:line="360" w:lineRule="auto"/>
        <w:ind w:right="-32"/>
        <w:rPr>
          <w:rFonts w:hint="eastAsia" w:ascii="华文楷体" w:hAnsi="华文楷体" w:eastAsia="华文楷体" w:cs="宋体"/>
          <w:color w:val="auto"/>
          <w:kern w:val="0"/>
          <w:sz w:val="20"/>
          <w:highlight w:val="none"/>
        </w:rPr>
      </w:pPr>
      <w:r>
        <w:rPr>
          <w:rFonts w:hint="eastAsia" w:ascii="宋体" w:hAnsi="宋体"/>
          <w:color w:val="auto"/>
          <w:szCs w:val="21"/>
          <w:highlight w:val="none"/>
        </w:rPr>
        <w:t>日期：   年   月   日</w:t>
      </w:r>
    </w:p>
    <w:p w14:paraId="6EE7AF80">
      <w:pPr>
        <w:keepNext/>
        <w:keepLines/>
        <w:adjustRightInd w:val="0"/>
        <w:snapToGrid w:val="0"/>
        <w:spacing w:before="280" w:after="290"/>
        <w:outlineLvl w:val="3"/>
        <w:rPr>
          <w:rFonts w:ascii="Times New Roman" w:hAnsi="Times New Roman"/>
          <w:b/>
          <w:bCs/>
          <w:color w:val="auto"/>
          <w:sz w:val="28"/>
          <w:szCs w:val="28"/>
          <w:highlight w:val="none"/>
        </w:rPr>
      </w:pPr>
      <w:r>
        <w:rPr>
          <w:color w:val="auto"/>
          <w:sz w:val="24"/>
          <w:szCs w:val="24"/>
          <w:highlight w:val="none"/>
        </w:rPr>
        <w:br w:type="page"/>
      </w:r>
      <w:r>
        <w:rPr>
          <w:rFonts w:hint="eastAsia" w:ascii="Times New Roman" w:hAnsi="Times New Roman"/>
          <w:b/>
          <w:bCs/>
          <w:color w:val="auto"/>
          <w:sz w:val="28"/>
          <w:szCs w:val="28"/>
          <w:highlight w:val="none"/>
        </w:rPr>
        <w:t>2.2</w:t>
      </w:r>
      <w:r>
        <w:rPr>
          <w:rFonts w:ascii="Times New Roman" w:hAnsi="Times New Roman"/>
          <w:b/>
          <w:bCs/>
          <w:color w:val="auto"/>
          <w:sz w:val="28"/>
          <w:szCs w:val="28"/>
          <w:highlight w:val="none"/>
        </w:rPr>
        <w:t xml:space="preserve"> </w:t>
      </w:r>
      <w:r>
        <w:rPr>
          <w:rFonts w:hint="eastAsia" w:ascii="Times New Roman" w:hAnsi="Times New Roman"/>
          <w:b/>
          <w:bCs/>
          <w:color w:val="auto"/>
          <w:sz w:val="28"/>
          <w:szCs w:val="28"/>
          <w:highlight w:val="none"/>
        </w:rPr>
        <w:t>投标报价明细表</w:t>
      </w:r>
    </w:p>
    <w:p w14:paraId="5391BE3F">
      <w:pPr>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报价清单</w:t>
      </w:r>
      <w:r>
        <w:rPr>
          <w:rFonts w:hint="eastAsia" w:ascii="宋体" w:hAnsi="宋体" w:cs="宋体"/>
          <w:b/>
          <w:bCs/>
          <w:color w:val="auto"/>
          <w:kern w:val="0"/>
          <w:szCs w:val="21"/>
          <w:highlight w:val="none"/>
          <w:lang w:val="en-US" w:eastAsia="zh-CN"/>
        </w:rPr>
        <w:t>可另附</w:t>
      </w:r>
      <w:r>
        <w:rPr>
          <w:rFonts w:hint="eastAsia" w:ascii="宋体" w:hAnsi="宋体" w:cs="宋体"/>
          <w:color w:val="auto"/>
          <w:kern w:val="0"/>
          <w:szCs w:val="21"/>
          <w:highlight w:val="none"/>
        </w:rPr>
        <w:t>）</w:t>
      </w:r>
    </w:p>
    <w:p w14:paraId="24420C85">
      <w:pPr>
        <w:ind w:firstLine="420" w:firstLineChars="200"/>
        <w:rPr>
          <w:rFonts w:hint="eastAsia" w:ascii="宋体" w:hAnsi="宋体"/>
          <w:color w:val="auto"/>
          <w:kern w:val="0"/>
          <w:szCs w:val="21"/>
          <w:highlight w:val="none"/>
        </w:rPr>
      </w:pPr>
    </w:p>
    <w:p w14:paraId="25646F38">
      <w:pPr>
        <w:keepNext/>
        <w:keepLines/>
        <w:adjustRightInd w:val="0"/>
        <w:snapToGrid w:val="0"/>
        <w:spacing w:before="280" w:after="290"/>
        <w:outlineLvl w:val="3"/>
        <w:rPr>
          <w:rFonts w:ascii="Times New Roman" w:hAnsi="Times New Roman"/>
          <w:b/>
          <w:bCs/>
          <w:color w:val="auto"/>
          <w:kern w:val="0"/>
          <w:sz w:val="32"/>
          <w:szCs w:val="32"/>
          <w:highlight w:val="none"/>
        </w:rPr>
      </w:pPr>
      <w:r>
        <w:rPr>
          <w:color w:val="auto"/>
          <w:sz w:val="24"/>
          <w:szCs w:val="24"/>
          <w:highlight w:val="none"/>
        </w:rPr>
        <w:br w:type="page"/>
      </w:r>
    </w:p>
    <w:p w14:paraId="4894A501">
      <w:pPr>
        <w:keepNext/>
        <w:keepLines/>
        <w:widowControl/>
        <w:spacing w:after="156" w:afterLines="50" w:line="413" w:lineRule="auto"/>
        <w:outlineLvl w:val="1"/>
        <w:rPr>
          <w:rFonts w:ascii="Times New Roman" w:hAnsi="Times New Roman"/>
          <w:b/>
          <w:bCs/>
          <w:color w:val="auto"/>
          <w:kern w:val="0"/>
          <w:sz w:val="32"/>
          <w:szCs w:val="32"/>
          <w:highlight w:val="none"/>
        </w:rPr>
      </w:pPr>
      <w:r>
        <w:rPr>
          <w:rFonts w:hint="eastAsia" w:ascii="Times New Roman" w:hAnsi="Times New Roman"/>
          <w:b/>
          <w:bCs/>
          <w:color w:val="auto"/>
          <w:kern w:val="0"/>
          <w:sz w:val="32"/>
          <w:szCs w:val="32"/>
          <w:highlight w:val="none"/>
        </w:rPr>
        <w:t>三、资格性文件</w:t>
      </w:r>
    </w:p>
    <w:p w14:paraId="2EC7A56F">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3.1 投标函</w:t>
      </w:r>
    </w:p>
    <w:p w14:paraId="3146142F">
      <w:pPr>
        <w:adjustRightInd w:val="0"/>
        <w:snapToGrid w:val="0"/>
        <w:spacing w:line="360" w:lineRule="auto"/>
        <w:rPr>
          <w:color w:val="auto"/>
          <w:szCs w:val="21"/>
          <w:highlight w:val="none"/>
        </w:rPr>
      </w:pPr>
      <w:r>
        <w:rPr>
          <w:rFonts w:hint="eastAsia"/>
          <w:color w:val="auto"/>
          <w:szCs w:val="21"/>
          <w:highlight w:val="none"/>
          <w:u w:val="single"/>
        </w:rPr>
        <w:t>（招标人）</w:t>
      </w:r>
      <w:r>
        <w:rPr>
          <w:rFonts w:hint="eastAsia"/>
          <w:color w:val="auto"/>
          <w:szCs w:val="21"/>
          <w:highlight w:val="none"/>
        </w:rPr>
        <w:t>：</w:t>
      </w:r>
    </w:p>
    <w:p w14:paraId="562496B1">
      <w:pPr>
        <w:autoSpaceDE w:val="0"/>
        <w:autoSpaceDN w:val="0"/>
        <w:adjustRightInd w:val="0"/>
        <w:spacing w:line="360" w:lineRule="auto"/>
        <w:ind w:right="26" w:firstLine="472" w:firstLineChars="225"/>
        <w:rPr>
          <w:color w:val="auto"/>
          <w:szCs w:val="21"/>
          <w:highlight w:val="none"/>
        </w:rPr>
      </w:pPr>
      <w:r>
        <w:rPr>
          <w:rFonts w:hint="eastAsia"/>
          <w:color w:val="auto"/>
          <w:szCs w:val="21"/>
          <w:highlight w:val="none"/>
        </w:rPr>
        <w:t>依据贵方招标项目名称</w:t>
      </w:r>
      <w:r>
        <w:rPr>
          <w:rFonts w:hint="eastAsia"/>
          <w:color w:val="auto"/>
          <w:szCs w:val="21"/>
          <w:highlight w:val="none"/>
          <w:u w:val="single"/>
        </w:rPr>
        <w:t>（招标项目名称、编号）</w:t>
      </w:r>
      <w:r>
        <w:rPr>
          <w:rFonts w:hint="eastAsia"/>
          <w:color w:val="auto"/>
          <w:szCs w:val="21"/>
          <w:highlight w:val="none"/>
        </w:rPr>
        <w:t>项目采购货物及服务的投标邀请，我方代表</w:t>
      </w:r>
      <w:r>
        <w:rPr>
          <w:rFonts w:hint="eastAsia"/>
          <w:color w:val="auto"/>
          <w:szCs w:val="21"/>
          <w:highlight w:val="none"/>
          <w:u w:val="single"/>
        </w:rPr>
        <w:t>（姓名、职务）</w:t>
      </w:r>
      <w:r>
        <w:rPr>
          <w:rFonts w:hint="eastAsia"/>
          <w:color w:val="auto"/>
          <w:szCs w:val="21"/>
          <w:highlight w:val="none"/>
        </w:rPr>
        <w:t>经正式授权并代表</w:t>
      </w:r>
      <w:r>
        <w:rPr>
          <w:rFonts w:hint="eastAsia"/>
          <w:color w:val="auto"/>
          <w:szCs w:val="21"/>
          <w:highlight w:val="none"/>
          <w:u w:val="single"/>
        </w:rPr>
        <w:t>（投标人名称、地址）</w:t>
      </w:r>
      <w:r>
        <w:rPr>
          <w:rFonts w:hint="eastAsia"/>
          <w:color w:val="auto"/>
          <w:szCs w:val="21"/>
          <w:highlight w:val="none"/>
        </w:rPr>
        <w:t>提交下述文件。</w:t>
      </w:r>
    </w:p>
    <w:p w14:paraId="373145F5">
      <w:pPr>
        <w:autoSpaceDE w:val="0"/>
        <w:autoSpaceDN w:val="0"/>
        <w:adjustRightInd w:val="0"/>
        <w:spacing w:line="300" w:lineRule="auto"/>
        <w:ind w:right="246" w:firstLine="472" w:firstLineChars="225"/>
        <w:rPr>
          <w:rFonts w:hint="eastAsia" w:ascii="宋体" w:hAnsi="宋体"/>
          <w:color w:val="auto"/>
          <w:szCs w:val="21"/>
          <w:highlight w:val="none"/>
        </w:rPr>
      </w:pPr>
      <w:r>
        <w:rPr>
          <w:rFonts w:hint="eastAsia" w:ascii="宋体" w:hAnsi="宋体"/>
          <w:color w:val="auto"/>
          <w:szCs w:val="21"/>
          <w:highlight w:val="none"/>
        </w:rPr>
        <w:t>1. 自查表；</w:t>
      </w:r>
    </w:p>
    <w:p w14:paraId="1AE57339">
      <w:pPr>
        <w:autoSpaceDE w:val="0"/>
        <w:autoSpaceDN w:val="0"/>
        <w:adjustRightInd w:val="0"/>
        <w:spacing w:line="300" w:lineRule="auto"/>
        <w:ind w:right="246" w:firstLine="472" w:firstLineChars="225"/>
        <w:rPr>
          <w:rFonts w:hint="eastAsia" w:ascii="宋体" w:hAnsi="宋体"/>
          <w:color w:val="auto"/>
          <w:szCs w:val="21"/>
          <w:highlight w:val="none"/>
        </w:rPr>
      </w:pPr>
      <w:r>
        <w:rPr>
          <w:rFonts w:hint="eastAsia" w:ascii="宋体" w:hAnsi="宋体"/>
          <w:color w:val="auto"/>
          <w:szCs w:val="21"/>
          <w:highlight w:val="none"/>
        </w:rPr>
        <w:t>2. 价格部分；</w:t>
      </w:r>
    </w:p>
    <w:p w14:paraId="5C9970F1">
      <w:pPr>
        <w:autoSpaceDE w:val="0"/>
        <w:autoSpaceDN w:val="0"/>
        <w:adjustRightInd w:val="0"/>
        <w:spacing w:line="300" w:lineRule="auto"/>
        <w:ind w:right="246" w:firstLine="472" w:firstLineChars="225"/>
        <w:rPr>
          <w:rFonts w:hint="eastAsia" w:ascii="宋体" w:hAnsi="宋体"/>
          <w:color w:val="auto"/>
          <w:szCs w:val="21"/>
          <w:highlight w:val="none"/>
        </w:rPr>
      </w:pPr>
      <w:r>
        <w:rPr>
          <w:rFonts w:hint="eastAsia" w:ascii="宋体" w:hAnsi="宋体"/>
          <w:color w:val="auto"/>
          <w:szCs w:val="21"/>
          <w:highlight w:val="none"/>
        </w:rPr>
        <w:t>3. 资格性文件；</w:t>
      </w:r>
    </w:p>
    <w:p w14:paraId="043AA69B">
      <w:pPr>
        <w:autoSpaceDE w:val="0"/>
        <w:autoSpaceDN w:val="0"/>
        <w:adjustRightInd w:val="0"/>
        <w:spacing w:line="300" w:lineRule="auto"/>
        <w:ind w:right="246" w:firstLine="472" w:firstLineChars="225"/>
        <w:rPr>
          <w:rFonts w:hint="eastAsia" w:ascii="宋体" w:hAnsi="宋体"/>
          <w:color w:val="auto"/>
          <w:szCs w:val="21"/>
          <w:highlight w:val="none"/>
        </w:rPr>
      </w:pPr>
      <w:r>
        <w:rPr>
          <w:rFonts w:hint="eastAsia" w:ascii="宋体" w:hAnsi="宋体"/>
          <w:color w:val="auto"/>
          <w:szCs w:val="21"/>
          <w:highlight w:val="none"/>
        </w:rPr>
        <w:t>4. 商务部分；</w:t>
      </w:r>
    </w:p>
    <w:p w14:paraId="217E0BFD">
      <w:pPr>
        <w:autoSpaceDE w:val="0"/>
        <w:autoSpaceDN w:val="0"/>
        <w:adjustRightInd w:val="0"/>
        <w:spacing w:line="300" w:lineRule="auto"/>
        <w:ind w:right="32" w:firstLine="472" w:firstLineChars="225"/>
        <w:rPr>
          <w:rFonts w:hint="eastAsia" w:ascii="宋体" w:hAnsi="宋体"/>
          <w:color w:val="auto"/>
          <w:szCs w:val="21"/>
          <w:highlight w:val="none"/>
        </w:rPr>
      </w:pPr>
      <w:r>
        <w:rPr>
          <w:rFonts w:hint="eastAsia" w:ascii="宋体" w:hAnsi="宋体"/>
          <w:color w:val="auto"/>
          <w:szCs w:val="21"/>
          <w:highlight w:val="none"/>
        </w:rPr>
        <w:t>5. 技术部分；</w:t>
      </w:r>
    </w:p>
    <w:p w14:paraId="5090E5DA">
      <w:pPr>
        <w:autoSpaceDE w:val="0"/>
        <w:autoSpaceDN w:val="0"/>
        <w:adjustRightInd w:val="0"/>
        <w:spacing w:line="300" w:lineRule="auto"/>
        <w:ind w:right="246" w:firstLine="472" w:firstLineChars="225"/>
        <w:rPr>
          <w:rFonts w:hint="eastAsia" w:ascii="宋体" w:hAnsi="宋体"/>
          <w:color w:val="auto"/>
          <w:szCs w:val="21"/>
          <w:highlight w:val="none"/>
        </w:rPr>
      </w:pPr>
      <w:r>
        <w:rPr>
          <w:rFonts w:hint="eastAsia" w:ascii="宋体" w:hAnsi="宋体"/>
          <w:color w:val="auto"/>
          <w:szCs w:val="21"/>
          <w:highlight w:val="none"/>
        </w:rPr>
        <w:t>6. 其他部分。</w:t>
      </w:r>
    </w:p>
    <w:p w14:paraId="56AE3280">
      <w:pPr>
        <w:autoSpaceDE w:val="0"/>
        <w:autoSpaceDN w:val="0"/>
        <w:adjustRightInd w:val="0"/>
        <w:spacing w:line="300" w:lineRule="auto"/>
        <w:ind w:right="246" w:firstLine="472" w:firstLineChars="225"/>
        <w:rPr>
          <w:rFonts w:hint="eastAsia" w:ascii="宋体" w:hAnsi="宋体"/>
          <w:color w:val="auto"/>
          <w:szCs w:val="21"/>
          <w:highlight w:val="none"/>
        </w:rPr>
      </w:pPr>
      <w:r>
        <w:rPr>
          <w:rFonts w:hint="eastAsia" w:ascii="宋体" w:hAnsi="宋体"/>
          <w:color w:val="auto"/>
          <w:szCs w:val="21"/>
          <w:highlight w:val="none"/>
        </w:rPr>
        <w:t>在此，我方声明如下：</w:t>
      </w:r>
    </w:p>
    <w:p w14:paraId="30924D4B">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1.</w:t>
      </w:r>
      <w:r>
        <w:rPr>
          <w:rFonts w:hint="eastAsia"/>
          <w:color w:val="auto"/>
          <w:szCs w:val="21"/>
          <w:highlight w:val="none"/>
        </w:rPr>
        <w:t>同意并接受招标文件的各项要求，遵守招标文件中的各项规定，按招</w:t>
      </w:r>
      <w:r>
        <w:rPr>
          <w:rFonts w:hint="eastAsia" w:ascii="宋体" w:hAnsi="宋体"/>
          <w:color w:val="auto"/>
          <w:szCs w:val="21"/>
          <w:highlight w:val="none"/>
        </w:rPr>
        <w:t>标文件的要求提供报价。</w:t>
      </w:r>
    </w:p>
    <w:p w14:paraId="084323EE">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2.全部货物和相关服务的投标总价详见投标报价表。</w:t>
      </w:r>
    </w:p>
    <w:p w14:paraId="6F268952">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3.投标有效期为</w:t>
      </w:r>
      <w:r>
        <w:rPr>
          <w:rFonts w:hint="eastAsia"/>
          <w:color w:val="auto"/>
          <w:highlight w:val="none"/>
        </w:rPr>
        <w:t>投标截止日</w:t>
      </w:r>
      <w:r>
        <w:rPr>
          <w:rFonts w:hint="eastAsia"/>
          <w:color w:val="auto"/>
          <w:szCs w:val="21"/>
          <w:highlight w:val="none"/>
        </w:rPr>
        <w:t>起</w:t>
      </w:r>
      <w:r>
        <w:rPr>
          <w:rFonts w:hint="eastAsia" w:ascii="宋体" w:hAnsi="宋体"/>
          <w:color w:val="auto"/>
          <w:szCs w:val="21"/>
          <w:highlight w:val="none"/>
          <w:u w:val="single"/>
        </w:rPr>
        <w:t xml:space="preserve"> 90 </w:t>
      </w:r>
      <w:r>
        <w:rPr>
          <w:rFonts w:hint="eastAsia" w:ascii="宋体" w:hAnsi="宋体"/>
          <w:color w:val="auto"/>
          <w:szCs w:val="21"/>
          <w:highlight w:val="none"/>
        </w:rPr>
        <w:t>天，中标人投标有效期延至合同验收之日。</w:t>
      </w:r>
    </w:p>
    <w:p w14:paraId="66667BDB">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4.</w:t>
      </w:r>
      <w:r>
        <w:rPr>
          <w:rFonts w:hint="eastAsia"/>
          <w:color w:val="auto"/>
          <w:szCs w:val="21"/>
          <w:highlight w:val="none"/>
        </w:rPr>
        <w:t>我方已经详细地阅读了全部招标文件及其附件</w:t>
      </w:r>
      <w:r>
        <w:rPr>
          <w:rFonts w:hint="eastAsia" w:ascii="宋体" w:hAnsi="宋体"/>
          <w:color w:val="auto"/>
          <w:szCs w:val="21"/>
          <w:highlight w:val="none"/>
        </w:rPr>
        <w:t>，</w:t>
      </w:r>
      <w:r>
        <w:rPr>
          <w:rFonts w:hint="eastAsia" w:ascii="宋体" w:hAnsi="宋体"/>
          <w:color w:val="auto"/>
          <w:highlight w:val="none"/>
        </w:rPr>
        <w:t>包括澄清、修改文件（如果有）和所有已提供的参考资料以及有关附件，我方完全明白并认为此招标文件没有倾向性，也不存在排斥潜在投标人的内容，我方同意招标文件的相关条款，放弃对招标文件提出误解和异议的一切权力</w:t>
      </w:r>
      <w:r>
        <w:rPr>
          <w:rFonts w:hint="eastAsia" w:ascii="宋体" w:hAnsi="宋体"/>
          <w:color w:val="auto"/>
          <w:szCs w:val="21"/>
          <w:highlight w:val="none"/>
        </w:rPr>
        <w:t>。</w:t>
      </w:r>
    </w:p>
    <w:p w14:paraId="5BA34147">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5.</w:t>
      </w:r>
      <w:r>
        <w:rPr>
          <w:rFonts w:hint="eastAsia" w:ascii="宋体" w:hAnsi="宋体"/>
          <w:color w:val="auto"/>
          <w:szCs w:val="21"/>
          <w:highlight w:val="none"/>
          <w:u w:val="single"/>
        </w:rPr>
        <w:t xml:space="preserve">      </w:t>
      </w:r>
      <w:r>
        <w:rPr>
          <w:rFonts w:hint="eastAsia" w:ascii="宋体" w:hAnsi="宋体"/>
          <w:i/>
          <w:color w:val="auto"/>
          <w:szCs w:val="21"/>
          <w:highlight w:val="none"/>
          <w:u w:val="single"/>
        </w:rPr>
        <w:t xml:space="preserve">(投标人名称)     </w:t>
      </w:r>
      <w:r>
        <w:rPr>
          <w:rFonts w:hint="eastAsia" w:ascii="宋体" w:hAnsi="宋体"/>
          <w:color w:val="auto"/>
          <w:szCs w:val="21"/>
          <w:highlight w:val="none"/>
        </w:rPr>
        <w:t>作为投标人正式授权</w:t>
      </w:r>
      <w:r>
        <w:rPr>
          <w:rFonts w:hint="eastAsia" w:ascii="宋体" w:hAnsi="宋体"/>
          <w:color w:val="auto"/>
          <w:szCs w:val="21"/>
          <w:highlight w:val="none"/>
          <w:u w:val="single"/>
        </w:rPr>
        <w:t xml:space="preserve">     </w:t>
      </w:r>
      <w:r>
        <w:rPr>
          <w:rFonts w:hint="eastAsia" w:ascii="宋体" w:hAnsi="宋体"/>
          <w:i/>
          <w:color w:val="auto"/>
          <w:szCs w:val="21"/>
          <w:highlight w:val="none"/>
          <w:u w:val="single"/>
        </w:rPr>
        <w:t xml:space="preserve">(授权代表全名, 职务)       </w:t>
      </w:r>
      <w:r>
        <w:rPr>
          <w:rFonts w:hint="eastAsia" w:ascii="宋体" w:hAnsi="宋体"/>
          <w:color w:val="auto"/>
          <w:szCs w:val="21"/>
          <w:highlight w:val="none"/>
        </w:rPr>
        <w:t>代表我方全权处理有关本投标的一切事宜。</w:t>
      </w:r>
    </w:p>
    <w:p w14:paraId="0B2FCD11">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6.我方已毫无保留地向贵方提供一切所需的证明材料。</w:t>
      </w:r>
    </w:p>
    <w:p w14:paraId="04378527">
      <w:pPr>
        <w:spacing w:line="360" w:lineRule="auto"/>
        <w:ind w:firstLine="472" w:firstLineChars="225"/>
        <w:rPr>
          <w:rFonts w:hint="eastAsia" w:ascii="宋体" w:hAnsi="宋体" w:cs="Times New Roman"/>
          <w:color w:val="auto"/>
          <w:highlight w:val="none"/>
        </w:rPr>
      </w:pPr>
      <w:r>
        <w:rPr>
          <w:rFonts w:hint="eastAsia" w:ascii="宋体" w:hAnsi="宋体"/>
          <w:color w:val="auto"/>
          <w:szCs w:val="21"/>
          <w:highlight w:val="none"/>
        </w:rPr>
        <w:t>7.我方承诺在本次投标响应中提供的一切文件，无论是原件还是扫描件均为真实和准确的，绝无任何虚假、伪造和夸大的成份，否则，愿承担相应的后果和法律责任。</w:t>
      </w:r>
      <w:r>
        <w:rPr>
          <w:rFonts w:hint="eastAsia" w:ascii="宋体" w:hAnsi="宋体" w:cs="Times New Roman"/>
          <w:b/>
          <w:bCs/>
          <w:color w:val="auto"/>
          <w:highlight w:val="none"/>
        </w:rPr>
        <w:t>我方如果中标，在合同签订前将向招标人提供投标文件中涉及“合格投标人条件”和“第四部分  评标方法”的《详细</w:t>
      </w:r>
      <w:r>
        <w:rPr>
          <w:rFonts w:hint="eastAsia" w:ascii="宋体" w:hAnsi="宋体" w:cs="Times New Roman"/>
          <w:b/>
          <w:bCs/>
          <w:color w:val="auto"/>
          <w:highlight w:val="none"/>
          <w:lang w:eastAsia="zh-CN"/>
        </w:rPr>
        <w:t>评标</w:t>
      </w:r>
      <w:r>
        <w:rPr>
          <w:rFonts w:hint="eastAsia" w:ascii="宋体" w:hAnsi="宋体" w:cs="Times New Roman"/>
          <w:b/>
          <w:bCs/>
          <w:color w:val="auto"/>
          <w:highlight w:val="none"/>
        </w:rPr>
        <w:t>表》响应情况（包括但不限于营业执照、企业管理体系认证、业绩证明材料等）扫描件相对应的原件进行核查</w:t>
      </w:r>
      <w:r>
        <w:rPr>
          <w:rFonts w:hint="eastAsia" w:ascii="宋体" w:hAnsi="宋体" w:cs="Times New Roman"/>
          <w:color w:val="auto"/>
          <w:highlight w:val="none"/>
        </w:rPr>
        <w:t>。</w:t>
      </w:r>
    </w:p>
    <w:p w14:paraId="5E3A0F32">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8.</w:t>
      </w:r>
      <w:r>
        <w:rPr>
          <w:rFonts w:hint="eastAsia" w:ascii="宋体" w:hAnsi="宋体"/>
          <w:color w:val="auto"/>
          <w:highlight w:val="none"/>
        </w:rPr>
        <w:t>我方明白并同意在规定的开标时间之后、投标有效期之内若撤回投标，投标保证金将不予退还。</w:t>
      </w:r>
    </w:p>
    <w:p w14:paraId="7F70B14C">
      <w:pPr>
        <w:spacing w:line="360" w:lineRule="auto"/>
        <w:ind w:firstLine="472" w:firstLineChars="225"/>
        <w:rPr>
          <w:rFonts w:hint="eastAsia" w:ascii="宋体" w:hAnsi="宋体"/>
          <w:color w:val="auto"/>
          <w:szCs w:val="21"/>
          <w:highlight w:val="none"/>
        </w:rPr>
      </w:pPr>
      <w:r>
        <w:rPr>
          <w:rFonts w:hint="eastAsia" w:ascii="宋体" w:hAnsi="宋体"/>
          <w:color w:val="auto"/>
          <w:szCs w:val="21"/>
          <w:highlight w:val="none"/>
        </w:rPr>
        <w:t>9.我方完全服从和尊重评委会所作的评定结果，同时清楚理解到报价最低并非意味着必定获得中标。</w:t>
      </w:r>
    </w:p>
    <w:p w14:paraId="08FC1D9C">
      <w:pPr>
        <w:spacing w:line="360" w:lineRule="auto"/>
        <w:ind w:firstLine="472" w:firstLineChars="225"/>
        <w:rPr>
          <w:rFonts w:hint="eastAsia" w:ascii="宋体" w:hAnsi="宋体"/>
          <w:color w:val="auto"/>
          <w:highlight w:val="none"/>
        </w:rPr>
      </w:pPr>
      <w:r>
        <w:rPr>
          <w:rFonts w:hint="eastAsia" w:ascii="宋体" w:hAnsi="宋体"/>
          <w:color w:val="auto"/>
          <w:szCs w:val="21"/>
          <w:highlight w:val="none"/>
        </w:rPr>
        <w:t>10.</w:t>
      </w:r>
      <w:r>
        <w:rPr>
          <w:rFonts w:hint="eastAsia" w:ascii="宋体" w:hAnsi="宋体"/>
          <w:color w:val="auto"/>
          <w:highlight w:val="none"/>
        </w:rPr>
        <w:t>我方如果中标，将按照招标文件及其修改文件（如果有的话）的要求及我方投标承诺，按质、按量、按期履行全部合同责任和义务。</w:t>
      </w:r>
    </w:p>
    <w:p w14:paraId="64C2F748">
      <w:pPr>
        <w:spacing w:line="360" w:lineRule="auto"/>
        <w:ind w:firstLine="472" w:firstLineChars="225"/>
        <w:rPr>
          <w:rFonts w:hint="eastAsia" w:ascii="宋体" w:hAnsi="宋体"/>
          <w:color w:val="auto"/>
          <w:szCs w:val="21"/>
          <w:highlight w:val="none"/>
        </w:rPr>
      </w:pPr>
    </w:p>
    <w:p w14:paraId="2C18F949">
      <w:pPr>
        <w:autoSpaceDE w:val="0"/>
        <w:autoSpaceDN w:val="0"/>
        <w:adjustRightInd w:val="0"/>
        <w:spacing w:line="360" w:lineRule="auto"/>
        <w:ind w:right="246" w:firstLine="472" w:firstLineChars="225"/>
        <w:rPr>
          <w:color w:val="auto"/>
          <w:szCs w:val="21"/>
          <w:highlight w:val="none"/>
        </w:rPr>
      </w:pPr>
      <w:r>
        <w:rPr>
          <w:rFonts w:hint="eastAsia"/>
          <w:color w:val="auto"/>
          <w:szCs w:val="21"/>
          <w:highlight w:val="none"/>
        </w:rPr>
        <w:t>投标人：</w:t>
      </w:r>
      <w:r>
        <w:rPr>
          <w:rFonts w:hint="eastAsia"/>
          <w:color w:val="auto"/>
          <w:szCs w:val="21"/>
          <w:highlight w:val="none"/>
          <w:u w:val="single"/>
        </w:rPr>
        <w:t xml:space="preserve">                             </w:t>
      </w:r>
    </w:p>
    <w:p w14:paraId="6135CA5B">
      <w:pPr>
        <w:autoSpaceDE w:val="0"/>
        <w:autoSpaceDN w:val="0"/>
        <w:adjustRightInd w:val="0"/>
        <w:spacing w:line="360" w:lineRule="auto"/>
        <w:ind w:right="246" w:firstLine="472" w:firstLineChars="225"/>
        <w:rPr>
          <w:color w:val="auto"/>
          <w:szCs w:val="21"/>
          <w:highlight w:val="none"/>
        </w:rPr>
      </w:pPr>
      <w:r>
        <w:rPr>
          <w:rFonts w:hint="eastAsia"/>
          <w:color w:val="auto"/>
          <w:szCs w:val="21"/>
          <w:highlight w:val="none"/>
        </w:rPr>
        <w:t>地址：</w:t>
      </w:r>
      <w:r>
        <w:rPr>
          <w:rFonts w:hint="eastAsia"/>
          <w:color w:val="auto"/>
          <w:szCs w:val="21"/>
          <w:highlight w:val="none"/>
          <w:u w:val="single"/>
        </w:rPr>
        <w:t xml:space="preserve">                               </w:t>
      </w:r>
    </w:p>
    <w:p w14:paraId="2D2B3831">
      <w:pPr>
        <w:autoSpaceDE w:val="0"/>
        <w:autoSpaceDN w:val="0"/>
        <w:adjustRightInd w:val="0"/>
        <w:spacing w:line="360" w:lineRule="auto"/>
        <w:ind w:right="246" w:firstLine="472" w:firstLineChars="225"/>
        <w:rPr>
          <w:color w:val="auto"/>
          <w:szCs w:val="21"/>
          <w:highlight w:val="none"/>
          <w:u w:val="single"/>
        </w:rPr>
      </w:pPr>
      <w:r>
        <w:rPr>
          <w:rFonts w:hint="eastAsia"/>
          <w:color w:val="auto"/>
          <w:szCs w:val="21"/>
          <w:highlight w:val="none"/>
        </w:rPr>
        <w:t>传真：</w:t>
      </w:r>
      <w:r>
        <w:rPr>
          <w:rFonts w:hint="eastAsia"/>
          <w:color w:val="auto"/>
          <w:szCs w:val="21"/>
          <w:highlight w:val="none"/>
          <w:u w:val="single"/>
        </w:rPr>
        <w:t xml:space="preserve">                               </w:t>
      </w:r>
    </w:p>
    <w:p w14:paraId="4E85901E">
      <w:pPr>
        <w:autoSpaceDE w:val="0"/>
        <w:autoSpaceDN w:val="0"/>
        <w:adjustRightInd w:val="0"/>
        <w:spacing w:line="360" w:lineRule="auto"/>
        <w:ind w:right="246" w:firstLine="472" w:firstLineChars="225"/>
        <w:rPr>
          <w:color w:val="auto"/>
          <w:szCs w:val="21"/>
          <w:highlight w:val="none"/>
        </w:rPr>
      </w:pPr>
      <w:r>
        <w:rPr>
          <w:rFonts w:hint="eastAsia"/>
          <w:color w:val="auto"/>
          <w:szCs w:val="21"/>
          <w:highlight w:val="none"/>
        </w:rPr>
        <w:t>电话：</w:t>
      </w:r>
      <w:r>
        <w:rPr>
          <w:rFonts w:hint="eastAsia"/>
          <w:color w:val="auto"/>
          <w:szCs w:val="21"/>
          <w:highlight w:val="none"/>
          <w:u w:val="single"/>
        </w:rPr>
        <w:t xml:space="preserve">                                </w:t>
      </w:r>
    </w:p>
    <w:p w14:paraId="44998E4C">
      <w:pPr>
        <w:autoSpaceDE w:val="0"/>
        <w:autoSpaceDN w:val="0"/>
        <w:adjustRightInd w:val="0"/>
        <w:spacing w:line="360" w:lineRule="auto"/>
        <w:ind w:right="246" w:firstLine="472" w:firstLineChars="225"/>
        <w:rPr>
          <w:color w:val="auto"/>
          <w:szCs w:val="21"/>
          <w:highlight w:val="none"/>
        </w:rPr>
      </w:pPr>
      <w:r>
        <w:rPr>
          <w:rFonts w:hint="eastAsia"/>
          <w:color w:val="auto"/>
          <w:szCs w:val="21"/>
          <w:highlight w:val="none"/>
        </w:rPr>
        <w:t>电子邮件：</w:t>
      </w:r>
      <w:r>
        <w:rPr>
          <w:rFonts w:hint="eastAsia"/>
          <w:color w:val="auto"/>
          <w:szCs w:val="21"/>
          <w:highlight w:val="none"/>
          <w:u w:val="single"/>
        </w:rPr>
        <w:t xml:space="preserve">                            </w:t>
      </w:r>
    </w:p>
    <w:p w14:paraId="7D110B3A">
      <w:pPr>
        <w:autoSpaceDE w:val="0"/>
        <w:autoSpaceDN w:val="0"/>
        <w:adjustRightInd w:val="0"/>
        <w:spacing w:line="360" w:lineRule="auto"/>
        <w:ind w:right="246" w:firstLine="472" w:firstLineChars="225"/>
        <w:rPr>
          <w:color w:val="auto"/>
          <w:szCs w:val="21"/>
          <w:highlight w:val="none"/>
        </w:rPr>
      </w:pPr>
      <w:r>
        <w:rPr>
          <w:rFonts w:hint="eastAsia"/>
          <w:color w:val="auto"/>
          <w:szCs w:val="21"/>
          <w:highlight w:val="none"/>
        </w:rPr>
        <w:t>开户银行：</w:t>
      </w:r>
      <w:r>
        <w:rPr>
          <w:rFonts w:hint="eastAsia"/>
          <w:color w:val="auto"/>
          <w:szCs w:val="21"/>
          <w:highlight w:val="none"/>
          <w:u w:val="single"/>
        </w:rPr>
        <w:t xml:space="preserve">                            </w:t>
      </w:r>
    </w:p>
    <w:p w14:paraId="23E9D9A6">
      <w:pPr>
        <w:autoSpaceDE w:val="0"/>
        <w:autoSpaceDN w:val="0"/>
        <w:spacing w:line="360" w:lineRule="auto"/>
        <w:ind w:firstLine="472" w:firstLineChars="225"/>
        <w:rPr>
          <w:color w:val="auto"/>
          <w:szCs w:val="21"/>
          <w:highlight w:val="none"/>
        </w:rPr>
      </w:pPr>
      <w:r>
        <w:rPr>
          <w:rFonts w:hint="eastAsia"/>
          <w:color w:val="auto"/>
          <w:szCs w:val="21"/>
          <w:highlight w:val="none"/>
        </w:rPr>
        <w:t>账号：</w:t>
      </w:r>
      <w:r>
        <w:rPr>
          <w:rFonts w:hint="eastAsia"/>
          <w:color w:val="auto"/>
          <w:szCs w:val="21"/>
          <w:highlight w:val="none"/>
          <w:u w:val="single"/>
        </w:rPr>
        <w:t xml:space="preserve">                               </w:t>
      </w:r>
    </w:p>
    <w:p w14:paraId="772AF99F">
      <w:pPr>
        <w:adjustRightInd w:val="0"/>
        <w:snapToGrid w:val="0"/>
        <w:spacing w:line="360" w:lineRule="auto"/>
        <w:ind w:firstLine="472" w:firstLineChars="225"/>
        <w:rPr>
          <w:color w:val="auto"/>
          <w:szCs w:val="21"/>
          <w:highlight w:val="none"/>
          <w:u w:val="single"/>
        </w:rPr>
      </w:pPr>
      <w:r>
        <w:rPr>
          <w:rFonts w:hint="eastAsia"/>
          <w:color w:val="auto"/>
          <w:szCs w:val="21"/>
          <w:highlight w:val="none"/>
        </w:rPr>
        <w:t>日期：</w:t>
      </w:r>
      <w:r>
        <w:rPr>
          <w:rFonts w:hint="eastAsia"/>
          <w:color w:val="auto"/>
          <w:szCs w:val="21"/>
          <w:highlight w:val="none"/>
          <w:u w:val="single"/>
        </w:rPr>
        <w:t xml:space="preserve">                               </w:t>
      </w:r>
    </w:p>
    <w:p w14:paraId="55DD0DF7">
      <w:pPr>
        <w:rPr>
          <w:color w:val="auto"/>
          <w:szCs w:val="21"/>
          <w:highlight w:val="none"/>
        </w:rPr>
      </w:pPr>
    </w:p>
    <w:p w14:paraId="4D1F3A2F">
      <w:pPr>
        <w:keepNext/>
        <w:keepLines/>
        <w:adjustRightInd w:val="0"/>
        <w:snapToGrid w:val="0"/>
        <w:spacing w:before="280" w:after="290"/>
        <w:outlineLvl w:val="3"/>
        <w:rPr>
          <w:rFonts w:ascii="Times New Roman" w:hAnsi="Times New Roman"/>
          <w:b/>
          <w:bCs/>
          <w:color w:val="auto"/>
          <w:sz w:val="28"/>
          <w:szCs w:val="28"/>
          <w:highlight w:val="none"/>
        </w:rPr>
      </w:pPr>
      <w:r>
        <w:rPr>
          <w:rFonts w:ascii="Cambria" w:hAnsi="Cambria"/>
          <w:b/>
          <w:bCs/>
          <w:color w:val="auto"/>
          <w:sz w:val="24"/>
          <w:szCs w:val="24"/>
          <w:highlight w:val="none"/>
        </w:rPr>
        <w:br w:type="page"/>
      </w:r>
      <w:r>
        <w:rPr>
          <w:rFonts w:hint="eastAsia" w:ascii="Times New Roman" w:hAnsi="Times New Roman"/>
          <w:b/>
          <w:bCs/>
          <w:color w:val="auto"/>
          <w:sz w:val="28"/>
          <w:szCs w:val="28"/>
          <w:highlight w:val="none"/>
        </w:rPr>
        <w:t>3.2</w:t>
      </w:r>
      <w:r>
        <w:rPr>
          <w:rFonts w:ascii="Times New Roman" w:hAnsi="Times New Roman"/>
          <w:b/>
          <w:bCs/>
          <w:color w:val="auto"/>
          <w:sz w:val="28"/>
          <w:szCs w:val="28"/>
          <w:highlight w:val="none"/>
        </w:rPr>
        <w:t xml:space="preserve"> </w:t>
      </w:r>
      <w:r>
        <w:rPr>
          <w:rFonts w:hint="eastAsia" w:ascii="Times New Roman" w:hAnsi="Times New Roman"/>
          <w:b/>
          <w:bCs/>
          <w:color w:val="auto"/>
          <w:sz w:val="28"/>
          <w:szCs w:val="28"/>
          <w:highlight w:val="none"/>
        </w:rPr>
        <w:t>授权委托书</w:t>
      </w:r>
    </w:p>
    <w:p w14:paraId="479BE720">
      <w:pPr>
        <w:spacing w:line="480" w:lineRule="exact"/>
        <w:jc w:val="center"/>
        <w:rPr>
          <w:b/>
          <w:color w:val="auto"/>
          <w:sz w:val="28"/>
          <w:szCs w:val="28"/>
          <w:highlight w:val="none"/>
        </w:rPr>
      </w:pPr>
      <w:r>
        <w:rPr>
          <w:rFonts w:hint="eastAsia" w:cs="宋体"/>
          <w:b/>
          <w:color w:val="auto"/>
          <w:sz w:val="28"/>
          <w:szCs w:val="28"/>
          <w:highlight w:val="none"/>
        </w:rPr>
        <w:t>授权委托书</w:t>
      </w:r>
    </w:p>
    <w:p w14:paraId="751A513B">
      <w:pPr>
        <w:spacing w:line="360" w:lineRule="auto"/>
        <w:rPr>
          <w:color w:val="auto"/>
          <w:sz w:val="28"/>
          <w:szCs w:val="28"/>
          <w:highlight w:val="none"/>
        </w:rPr>
      </w:pPr>
    </w:p>
    <w:p w14:paraId="21E15F94">
      <w:pPr>
        <w:spacing w:line="360" w:lineRule="auto"/>
        <w:rPr>
          <w:color w:val="auto"/>
          <w:szCs w:val="21"/>
          <w:highlight w:val="none"/>
        </w:rPr>
      </w:pPr>
      <w:r>
        <w:rPr>
          <w:rFonts w:hint="eastAsia" w:cs="宋体"/>
          <w:color w:val="auto"/>
          <w:szCs w:val="21"/>
          <w:highlight w:val="none"/>
        </w:rPr>
        <w:t>致：招标人：</w:t>
      </w:r>
    </w:p>
    <w:p w14:paraId="642A3644">
      <w:pPr>
        <w:spacing w:line="360" w:lineRule="auto"/>
        <w:rPr>
          <w:color w:val="auto"/>
          <w:szCs w:val="21"/>
          <w:highlight w:val="none"/>
        </w:rPr>
      </w:pPr>
    </w:p>
    <w:p w14:paraId="7866DF75">
      <w:pPr>
        <w:spacing w:line="360" w:lineRule="auto"/>
        <w:ind w:firstLine="420" w:firstLineChars="200"/>
        <w:rPr>
          <w:color w:val="auto"/>
          <w:szCs w:val="21"/>
          <w:highlight w:val="none"/>
        </w:rPr>
      </w:pPr>
      <w:r>
        <w:rPr>
          <w:rFonts w:hint="eastAsia" w:cs="宋体"/>
          <w:color w:val="auto"/>
          <w:szCs w:val="21"/>
          <w:highlight w:val="none"/>
        </w:rPr>
        <w:t>兹授权</w:t>
      </w:r>
      <w:r>
        <w:rPr>
          <w:color w:val="auto"/>
          <w:szCs w:val="21"/>
          <w:highlight w:val="none"/>
          <w:u w:val="single"/>
        </w:rPr>
        <w:t xml:space="preserve">             </w:t>
      </w:r>
      <w:r>
        <w:rPr>
          <w:rFonts w:hint="eastAsia" w:cs="宋体"/>
          <w:color w:val="auto"/>
          <w:szCs w:val="21"/>
          <w:highlight w:val="none"/>
        </w:rPr>
        <w:t>同志，为我方签订经济合同及办理其他事务代理人，其权限是：</w:t>
      </w:r>
    </w:p>
    <w:p w14:paraId="2865E8ED">
      <w:pPr>
        <w:spacing w:line="360" w:lineRule="auto"/>
        <w:rPr>
          <w:color w:val="auto"/>
          <w:szCs w:val="21"/>
          <w:highlight w:val="none"/>
        </w:rPr>
      </w:pPr>
      <w:r>
        <w:rPr>
          <w:color w:val="auto"/>
          <w:szCs w:val="21"/>
          <w:highlight w:val="none"/>
          <w:u w:val="single"/>
        </w:rPr>
        <w:t xml:space="preserve">                                                   </w:t>
      </w:r>
      <w:r>
        <w:rPr>
          <w:rFonts w:hint="eastAsia" w:cs="宋体"/>
          <w:color w:val="auto"/>
          <w:szCs w:val="21"/>
          <w:highlight w:val="none"/>
        </w:rPr>
        <w:t>。</w:t>
      </w:r>
    </w:p>
    <w:p w14:paraId="1BA6856D">
      <w:pPr>
        <w:spacing w:line="360" w:lineRule="auto"/>
        <w:rPr>
          <w:rFonts w:hint="eastAsia" w:cs="宋体"/>
          <w:color w:val="auto"/>
          <w:szCs w:val="21"/>
          <w:highlight w:val="none"/>
        </w:rPr>
      </w:pPr>
      <w:r>
        <w:rPr>
          <w:rFonts w:hint="eastAsia" w:cs="宋体"/>
          <w:color w:val="auto"/>
          <w:szCs w:val="21"/>
          <w:highlight w:val="none"/>
        </w:rPr>
        <w:t>授权单位：          （加盖公章）     法定代表人              （签名或盖章）</w:t>
      </w:r>
    </w:p>
    <w:p w14:paraId="0EAD9BCC">
      <w:pPr>
        <w:spacing w:line="360" w:lineRule="auto"/>
        <w:rPr>
          <w:color w:val="auto"/>
          <w:szCs w:val="21"/>
          <w:highlight w:val="none"/>
        </w:rPr>
      </w:pPr>
      <w:r>
        <w:rPr>
          <w:rFonts w:hint="eastAsia" w:cs="宋体"/>
          <w:color w:val="auto"/>
          <w:szCs w:val="21"/>
          <w:highlight w:val="none"/>
        </w:rPr>
        <w:t>签发日期：</w:t>
      </w:r>
    </w:p>
    <w:p w14:paraId="44279769">
      <w:pPr>
        <w:spacing w:line="360" w:lineRule="auto"/>
        <w:rPr>
          <w:color w:val="auto"/>
          <w:szCs w:val="21"/>
          <w:highlight w:val="none"/>
        </w:rPr>
      </w:pPr>
      <w:r>
        <w:rPr>
          <w:rFonts w:hint="eastAsia" w:cs="宋体"/>
          <w:color w:val="auto"/>
          <w:szCs w:val="21"/>
          <w:highlight w:val="none"/>
        </w:rPr>
        <w:t>附：代理人性别：</w:t>
      </w:r>
      <w:r>
        <w:rPr>
          <w:color w:val="auto"/>
          <w:szCs w:val="21"/>
          <w:highlight w:val="none"/>
        </w:rPr>
        <w:t xml:space="preserve">        </w:t>
      </w:r>
      <w:r>
        <w:rPr>
          <w:rFonts w:hint="eastAsia" w:cs="宋体"/>
          <w:color w:val="auto"/>
          <w:szCs w:val="21"/>
          <w:highlight w:val="none"/>
        </w:rPr>
        <w:t>年龄：</w:t>
      </w:r>
      <w:r>
        <w:rPr>
          <w:color w:val="auto"/>
          <w:szCs w:val="21"/>
          <w:highlight w:val="none"/>
        </w:rPr>
        <w:t xml:space="preserve">       </w:t>
      </w:r>
      <w:r>
        <w:rPr>
          <w:rFonts w:hint="eastAsia" w:cs="宋体"/>
          <w:color w:val="auto"/>
          <w:szCs w:val="21"/>
          <w:highlight w:val="none"/>
        </w:rPr>
        <w:t>职务：</w:t>
      </w:r>
      <w:r>
        <w:rPr>
          <w:color w:val="auto"/>
          <w:szCs w:val="21"/>
          <w:highlight w:val="none"/>
        </w:rPr>
        <w:t xml:space="preserve">         </w:t>
      </w:r>
      <w:r>
        <w:rPr>
          <w:rFonts w:hint="eastAsia" w:cs="宋体"/>
          <w:color w:val="auto"/>
          <w:szCs w:val="21"/>
          <w:highlight w:val="none"/>
        </w:rPr>
        <w:t>身份证号码：</w:t>
      </w:r>
    </w:p>
    <w:p w14:paraId="61E63427">
      <w:pPr>
        <w:spacing w:line="360" w:lineRule="auto"/>
        <w:ind w:firstLine="472" w:firstLineChars="225"/>
        <w:rPr>
          <w:color w:val="auto"/>
          <w:szCs w:val="21"/>
          <w:highlight w:val="none"/>
        </w:rPr>
      </w:pPr>
      <w:r>
        <w:rPr>
          <w:rFonts w:hint="eastAsia" w:cs="宋体"/>
          <w:color w:val="auto"/>
          <w:szCs w:val="21"/>
          <w:highlight w:val="none"/>
        </w:rPr>
        <w:t>联系电话：</w:t>
      </w:r>
    </w:p>
    <w:p w14:paraId="5A2BF976">
      <w:pPr>
        <w:spacing w:line="360" w:lineRule="auto"/>
        <w:ind w:firstLine="472" w:firstLineChars="225"/>
        <w:rPr>
          <w:color w:val="auto"/>
          <w:szCs w:val="21"/>
          <w:highlight w:val="none"/>
        </w:rPr>
      </w:pPr>
      <w:r>
        <w:rPr>
          <w:rFonts w:hint="eastAsia" w:cs="宋体"/>
          <w:color w:val="auto"/>
          <w:szCs w:val="21"/>
          <w:highlight w:val="none"/>
        </w:rPr>
        <w:t>营业执照号码：</w:t>
      </w:r>
      <w:r>
        <w:rPr>
          <w:color w:val="auto"/>
          <w:szCs w:val="21"/>
          <w:highlight w:val="none"/>
        </w:rPr>
        <w:t xml:space="preserve">                         </w:t>
      </w:r>
      <w:r>
        <w:rPr>
          <w:rFonts w:hint="eastAsia" w:cs="宋体"/>
          <w:color w:val="auto"/>
          <w:szCs w:val="21"/>
          <w:highlight w:val="none"/>
        </w:rPr>
        <w:t>经济性质：</w:t>
      </w:r>
    </w:p>
    <w:p w14:paraId="771B8E63">
      <w:pPr>
        <w:spacing w:line="360" w:lineRule="auto"/>
        <w:ind w:firstLine="472" w:firstLineChars="225"/>
        <w:rPr>
          <w:color w:val="auto"/>
          <w:szCs w:val="21"/>
          <w:highlight w:val="none"/>
        </w:rPr>
      </w:pPr>
      <w:r>
        <w:rPr>
          <w:rFonts w:hint="eastAsia" w:cs="宋体"/>
          <w:color w:val="auto"/>
          <w:szCs w:val="21"/>
          <w:highlight w:val="none"/>
        </w:rPr>
        <w:t>主营（产）：</w:t>
      </w:r>
    </w:p>
    <w:p w14:paraId="7BE1778F">
      <w:pPr>
        <w:spacing w:line="360" w:lineRule="auto"/>
        <w:ind w:firstLine="472" w:firstLineChars="225"/>
        <w:rPr>
          <w:color w:val="auto"/>
          <w:szCs w:val="21"/>
          <w:highlight w:val="none"/>
        </w:rPr>
      </w:pPr>
      <w:r>
        <w:rPr>
          <w:rFonts w:hint="eastAsia" w:cs="宋体"/>
          <w:color w:val="auto"/>
          <w:szCs w:val="21"/>
          <w:highlight w:val="none"/>
        </w:rPr>
        <w:t>兼营（产）：</w:t>
      </w:r>
    </w:p>
    <w:p w14:paraId="6EB33E3F">
      <w:pPr>
        <w:spacing w:line="360" w:lineRule="auto"/>
        <w:ind w:firstLine="472" w:firstLineChars="225"/>
        <w:rPr>
          <w:color w:val="auto"/>
          <w:szCs w:val="21"/>
          <w:highlight w:val="none"/>
        </w:rPr>
      </w:pPr>
      <w:r>
        <w:rPr>
          <w:rFonts w:hint="eastAsia" w:cs="宋体"/>
          <w:color w:val="auto"/>
          <w:szCs w:val="21"/>
          <w:highlight w:val="none"/>
        </w:rPr>
        <w:t>进口物品经营许可证号码：</w:t>
      </w:r>
    </w:p>
    <w:p w14:paraId="7B99C6A0">
      <w:pPr>
        <w:spacing w:line="360" w:lineRule="auto"/>
        <w:ind w:firstLine="472" w:firstLineChars="225"/>
        <w:rPr>
          <w:color w:val="auto"/>
          <w:szCs w:val="21"/>
          <w:highlight w:val="none"/>
        </w:rPr>
      </w:pPr>
      <w:r>
        <w:rPr>
          <w:rFonts w:hint="eastAsia" w:cs="宋体"/>
          <w:color w:val="auto"/>
          <w:szCs w:val="21"/>
          <w:highlight w:val="none"/>
        </w:rPr>
        <w:t>主营：</w:t>
      </w:r>
    </w:p>
    <w:p w14:paraId="7704C6A9">
      <w:pPr>
        <w:spacing w:line="360" w:lineRule="auto"/>
        <w:ind w:firstLine="472" w:firstLineChars="225"/>
        <w:rPr>
          <w:color w:val="auto"/>
          <w:szCs w:val="21"/>
          <w:highlight w:val="none"/>
        </w:rPr>
      </w:pPr>
      <w:r>
        <w:rPr>
          <w:rFonts w:hint="eastAsia" w:cs="宋体"/>
          <w:color w:val="auto"/>
          <w:szCs w:val="21"/>
          <w:highlight w:val="none"/>
        </w:rPr>
        <w:t>兼营：</w:t>
      </w:r>
    </w:p>
    <w:p w14:paraId="4D7B349A">
      <w:pPr>
        <w:spacing w:line="360" w:lineRule="auto"/>
        <w:rPr>
          <w:color w:val="auto"/>
          <w:szCs w:val="21"/>
          <w:highlight w:val="none"/>
        </w:rPr>
      </w:pPr>
      <w:r>
        <w:rPr>
          <w:rFonts w:hint="eastAsia" w:cs="宋体"/>
          <w:color w:val="auto"/>
          <w:szCs w:val="21"/>
          <w:highlight w:val="none"/>
        </w:rPr>
        <w:t>说明：</w:t>
      </w:r>
      <w:r>
        <w:rPr>
          <w:color w:val="auto"/>
          <w:szCs w:val="21"/>
          <w:highlight w:val="none"/>
        </w:rPr>
        <w:t>1</w:t>
      </w:r>
      <w:r>
        <w:rPr>
          <w:rFonts w:hint="eastAsia" w:cs="宋体"/>
          <w:color w:val="auto"/>
          <w:szCs w:val="21"/>
          <w:highlight w:val="none"/>
        </w:rPr>
        <w:t>内容必须填写真实、清楚、涂改无效，不得转让、买卖。</w:t>
      </w:r>
    </w:p>
    <w:p w14:paraId="24C0522B">
      <w:pPr>
        <w:spacing w:line="360" w:lineRule="auto"/>
        <w:ind w:firstLine="630" w:firstLineChars="300"/>
        <w:rPr>
          <w:b/>
          <w:color w:val="auto"/>
          <w:szCs w:val="21"/>
          <w:highlight w:val="none"/>
        </w:rPr>
      </w:pPr>
      <w:r>
        <w:rPr>
          <w:color w:val="auto"/>
          <w:szCs w:val="21"/>
          <w:highlight w:val="none"/>
        </w:rPr>
        <w:t>2.</w:t>
      </w:r>
      <w:r>
        <w:rPr>
          <w:rFonts w:hint="eastAsia" w:cs="宋体"/>
          <w:color w:val="auto"/>
          <w:szCs w:val="21"/>
          <w:highlight w:val="none"/>
        </w:rPr>
        <w:t>将此证明书提交对方作为合同附件</w:t>
      </w:r>
      <w:r>
        <w:rPr>
          <w:rFonts w:hint="eastAsia" w:cs="宋体"/>
          <w:b/>
          <w:color w:val="auto"/>
          <w:szCs w:val="21"/>
          <w:highlight w:val="none"/>
        </w:rPr>
        <w:t>。</w:t>
      </w:r>
    </w:p>
    <w:p w14:paraId="03DA276D">
      <w:pPr>
        <w:spacing w:line="360" w:lineRule="auto"/>
        <w:ind w:firstLine="630" w:firstLineChars="300"/>
        <w:rPr>
          <w:color w:val="auto"/>
          <w:szCs w:val="21"/>
          <w:highlight w:val="none"/>
        </w:rPr>
      </w:pPr>
      <w:r>
        <w:rPr>
          <w:color w:val="auto"/>
          <w:szCs w:val="21"/>
          <w:highlight w:val="none"/>
        </w:rPr>
        <w:t>3.</w:t>
      </w:r>
      <w:r>
        <w:rPr>
          <w:rFonts w:hint="eastAsia" w:cs="宋体"/>
          <w:color w:val="auto"/>
          <w:szCs w:val="21"/>
          <w:highlight w:val="none"/>
        </w:rPr>
        <w:t>授权权限：全权代表本公司参与上述招标项目的投标，负责提供与签署确认一切文书资料，以及向贵方递交的任何补充承诺。</w:t>
      </w:r>
    </w:p>
    <w:p w14:paraId="6F5EC99C">
      <w:pPr>
        <w:spacing w:line="360" w:lineRule="auto"/>
        <w:ind w:firstLine="644" w:firstLineChars="307"/>
        <w:rPr>
          <w:color w:val="auto"/>
          <w:szCs w:val="21"/>
          <w:highlight w:val="none"/>
        </w:rPr>
      </w:pPr>
      <w:r>
        <w:rPr>
          <w:color w:val="auto"/>
          <w:szCs w:val="21"/>
          <w:highlight w:val="none"/>
        </w:rPr>
        <w:t>4.</w:t>
      </w:r>
      <w:r>
        <w:rPr>
          <w:rFonts w:hint="eastAsia" w:cs="宋体"/>
          <w:color w:val="auto"/>
          <w:szCs w:val="21"/>
          <w:highlight w:val="none"/>
        </w:rPr>
        <w:t>有效期限：与本公司投标文件中标注的投标有效期相同，自本单位盖公章之日起生效。</w:t>
      </w:r>
    </w:p>
    <w:p w14:paraId="2BACE768">
      <w:pPr>
        <w:spacing w:line="360" w:lineRule="auto"/>
        <w:rPr>
          <w:color w:val="auto"/>
          <w:highlight w:val="none"/>
        </w:rPr>
      </w:pPr>
      <w:r>
        <w:rPr>
          <w:rFonts w:hint="eastAsia" w:cs="宋体"/>
          <w:b/>
          <w:color w:val="auto"/>
          <w:szCs w:val="21"/>
          <w:highlight w:val="none"/>
        </w:rPr>
        <w:t>（为避免废标，请投标人务必提供本附件。）</w:t>
      </w:r>
    </w:p>
    <w:p w14:paraId="00AED5BE">
      <w:pPr>
        <w:spacing w:line="360" w:lineRule="auto"/>
        <w:rPr>
          <w:color w:val="auto"/>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36830</wp:posOffset>
                </wp:positionH>
                <wp:positionV relativeFrom="paragraph">
                  <wp:posOffset>34925</wp:posOffset>
                </wp:positionV>
                <wp:extent cx="5915025" cy="1584325"/>
                <wp:effectExtent l="0" t="0" r="28575" b="15875"/>
                <wp:wrapNone/>
                <wp:docPr id="7" name="流程图: 可选过程 1"/>
                <wp:cNvGraphicFramePr/>
                <a:graphic xmlns:a="http://schemas.openxmlformats.org/drawingml/2006/main">
                  <a:graphicData uri="http://schemas.microsoft.com/office/word/2010/wordprocessingShape">
                    <wps:wsp>
                      <wps:cNvSpPr/>
                      <wps:spPr>
                        <a:xfrm>
                          <a:off x="0" y="0"/>
                          <a:ext cx="59150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379F2C4">
                            <w:pPr>
                              <w:jc w:val="center"/>
                              <w:rPr>
                                <w:rFonts w:hint="eastAsia" w:hAnsi="宋体"/>
                                <w:szCs w:val="21"/>
                              </w:rPr>
                            </w:pPr>
                          </w:p>
                          <w:p w14:paraId="432EE5F7">
                            <w:pPr>
                              <w:jc w:val="center"/>
                              <w:rPr>
                                <w:rFonts w:hint="eastAsia" w:hAnsi="宋体"/>
                                <w:szCs w:val="21"/>
                              </w:rPr>
                            </w:pPr>
                          </w:p>
                          <w:p w14:paraId="3AE43BB5">
                            <w:pPr>
                              <w:jc w:val="center"/>
                              <w:rPr>
                                <w:rFonts w:hint="eastAsia" w:hAnsi="宋体"/>
                                <w:szCs w:val="21"/>
                              </w:rPr>
                            </w:pPr>
                          </w:p>
                          <w:p w14:paraId="2C283C96">
                            <w:pPr>
                              <w:jc w:val="center"/>
                              <w:rPr>
                                <w:szCs w:val="21"/>
                              </w:rPr>
                            </w:pPr>
                            <w:r>
                              <w:rPr>
                                <w:rFonts w:hint="eastAsia" w:hAnsi="宋体" w:cs="宋体"/>
                                <w:szCs w:val="21"/>
                              </w:rPr>
                              <w:t>被授权代表身份证扫描件（正反面）</w:t>
                            </w:r>
                          </w:p>
                        </w:txbxContent>
                      </wps:txbx>
                      <wps:bodyPr wrap="square" upright="1"/>
                    </wps:wsp>
                  </a:graphicData>
                </a:graphic>
              </wp:anchor>
            </w:drawing>
          </mc:Choice>
          <mc:Fallback>
            <w:pict>
              <v:shape id="流程图: 可选过程 1" o:spid="_x0000_s1026" o:spt="176" type="#_x0000_t176" style="position:absolute;left:0pt;margin-left:2.9pt;margin-top:2.75pt;height:124.75pt;width:465.75pt;z-index:251659264;mso-width-relative:page;mso-height-relative:page;" fillcolor="#FFFFFF" filled="t" stroked="t" coordsize="21600,21600" o:gfxdata="UEsDBAoAAAAAAIdO4kAAAAAAAAAAAAAAAAAEAAAAZHJzL1BLAwQUAAAACACHTuJAesrVUdcAAAAH&#10;AQAADwAAAGRycy9kb3ducmV2LnhtbE3OTU+EMBAG4LuJ/6EZE29uyxL2Aykbo9GTF9lN9lroSIm0&#10;JbSw6K93PLmnyeSdvPMUh8X2bMYxdN5JSFYCGLrG6861Ek7H14cdsBCV06r3DiV8Y4BDeXtTqFz7&#10;i/vAuYotoxIXciXBxDjknIfGoFVh5Qd0lH360apI69hyPaoLlduer4XYcKs6Rx+MGvDZYPNVTVbC&#10;8v5T76e3pKmi2W2253R+eTpxKe/vEvEILOIS/4/hj090KMlU+8npwHoJGcEjjQwYpft0mwKrJayz&#10;TAAvC37tL38BUEsDBBQAAAAIAIdO4kDwO5JGMQIAAF4EAAAOAAAAZHJzL2Uyb0RvYy54bWytVM2O&#10;0zAQviPxDpbvNGmhsBs1XaEt5YJgpYUHmDpOYsl/2G6T3uCEEId9AF6AGyeu8DTLz1swdkr3Bw49&#10;kEMyY3u+me+bcWYnvZJkw50XRpd0PMop4ZqZSuimpK9eLu8dUeID6Aqk0bykW+7pyfzunVlnCz4x&#10;rZEVdwRBtC86W9I2BFtkmWctV+BHxnKNm7VxCgK6rskqBx2iK5lN8vxh1hlXWWcY9x5XF8Mm3SG6&#10;QwBNXQvGF4atFddhQHVcQkBKvhXW03mqtq45Cy/q2vNAZEmRaUhvTIL2Kr6z+QyKxoFtBduVAIeU&#10;cIuTAqEx6R5qAQHI2om/oJRgznhThxEzKhuIJEWQxTi/pc15C5YnLii1t3vR/f+DZc83Z46IqqSP&#10;KNGgsOHfv7z98enD5cevBbm8+Pzrzfuf397hAhlHsTrrC4w5t2du53k0I/O+dip+kRPpk8DbvcC8&#10;D4Th4vR4PM0nU0oY7o2nRw/uo4M42VW4dT485UaRaJS0lqY7bcGFxzJwpyHws2F0ktqweebDEP8n&#10;LpbgjRTVUkiZHNesTqUjG8ARWKZnl/LGMalJV9LjaaoOcK5rnCcsVFnUxusm5bsR4a8D5+n5F3As&#10;bAG+HQpICPEYFEogo2S1HKonuiJha1F/jdeOxmIUryiRHG9ptNLJAEIechIFlRp1je0aGhSt0K96&#10;hInmylRbbHyHk4/0Xq/BYc61daJpUfXU6hSMY5fas7sica6v+ynF1W9h/h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6ytVR1wAAAAcBAAAPAAAAAAAAAAEAIAAAACIAAABkcnMvZG93bnJldi54bWxQ&#10;SwECFAAUAAAACACHTuJA8DuSRjECAABeBAAADgAAAAAAAAABACAAAAAmAQAAZHJzL2Uyb0RvYy54&#10;bWxQSwUGAAAAAAYABgBZAQAAyQUAAAAA&#10;">
                <v:fill on="t" focussize="0,0"/>
                <v:stroke color="#000000" joinstyle="miter"/>
                <v:imagedata o:title=""/>
                <o:lock v:ext="edit" aspectratio="f"/>
                <v:textbox>
                  <w:txbxContent>
                    <w:p w14:paraId="3379F2C4">
                      <w:pPr>
                        <w:jc w:val="center"/>
                        <w:rPr>
                          <w:rFonts w:hint="eastAsia" w:hAnsi="宋体"/>
                          <w:szCs w:val="21"/>
                        </w:rPr>
                      </w:pPr>
                    </w:p>
                    <w:p w14:paraId="432EE5F7">
                      <w:pPr>
                        <w:jc w:val="center"/>
                        <w:rPr>
                          <w:rFonts w:hint="eastAsia" w:hAnsi="宋体"/>
                          <w:szCs w:val="21"/>
                        </w:rPr>
                      </w:pPr>
                    </w:p>
                    <w:p w14:paraId="3AE43BB5">
                      <w:pPr>
                        <w:jc w:val="center"/>
                        <w:rPr>
                          <w:rFonts w:hint="eastAsia" w:hAnsi="宋体"/>
                          <w:szCs w:val="21"/>
                        </w:rPr>
                      </w:pPr>
                    </w:p>
                    <w:p w14:paraId="2C283C96">
                      <w:pPr>
                        <w:jc w:val="center"/>
                        <w:rPr>
                          <w:szCs w:val="21"/>
                        </w:rPr>
                      </w:pPr>
                      <w:r>
                        <w:rPr>
                          <w:rFonts w:hint="eastAsia" w:hAnsi="宋体" w:cs="宋体"/>
                          <w:szCs w:val="21"/>
                        </w:rPr>
                        <w:t>被授权代表身份证扫描件（正反面）</w:t>
                      </w:r>
                    </w:p>
                  </w:txbxContent>
                </v:textbox>
              </v:shape>
            </w:pict>
          </mc:Fallback>
        </mc:AlternateContent>
      </w:r>
    </w:p>
    <w:p w14:paraId="0E42F6D0">
      <w:pPr>
        <w:rPr>
          <w:color w:val="auto"/>
          <w:highlight w:val="none"/>
        </w:rPr>
      </w:pPr>
    </w:p>
    <w:p w14:paraId="5BFB6053">
      <w:pPr>
        <w:rPr>
          <w:color w:val="auto"/>
          <w:highlight w:val="none"/>
        </w:rPr>
      </w:pPr>
    </w:p>
    <w:p w14:paraId="47563666">
      <w:pPr>
        <w:keepNext/>
        <w:keepLines/>
        <w:adjustRightInd w:val="0"/>
        <w:snapToGrid w:val="0"/>
        <w:spacing w:before="280" w:after="290"/>
        <w:outlineLvl w:val="3"/>
        <w:rPr>
          <w:rFonts w:ascii="Times New Roman" w:hAnsi="Times New Roman"/>
          <w:b/>
          <w:bCs/>
          <w:color w:val="auto"/>
          <w:sz w:val="28"/>
          <w:szCs w:val="28"/>
          <w:highlight w:val="none"/>
        </w:rPr>
      </w:pPr>
      <w:r>
        <w:rPr>
          <w:color w:val="auto"/>
          <w:sz w:val="24"/>
          <w:szCs w:val="24"/>
          <w:highlight w:val="none"/>
        </w:rPr>
        <w:br w:type="page"/>
      </w:r>
      <w:r>
        <w:rPr>
          <w:rFonts w:hint="eastAsia" w:ascii="Times New Roman" w:hAnsi="Times New Roman"/>
          <w:b/>
          <w:bCs/>
          <w:color w:val="auto"/>
          <w:sz w:val="28"/>
          <w:szCs w:val="28"/>
          <w:highlight w:val="none"/>
        </w:rPr>
        <w:t>3.</w:t>
      </w:r>
      <w:r>
        <w:rPr>
          <w:rFonts w:ascii="Times New Roman" w:hAnsi="Times New Roman"/>
          <w:b/>
          <w:bCs/>
          <w:color w:val="auto"/>
          <w:sz w:val="28"/>
          <w:szCs w:val="28"/>
          <w:highlight w:val="none"/>
        </w:rPr>
        <w:t>3</w:t>
      </w:r>
      <w:r>
        <w:rPr>
          <w:rFonts w:hint="eastAsia" w:ascii="Times New Roman" w:hAnsi="Times New Roman"/>
          <w:b/>
          <w:bCs/>
          <w:color w:val="auto"/>
          <w:sz w:val="28"/>
          <w:szCs w:val="28"/>
          <w:highlight w:val="none"/>
        </w:rPr>
        <w:t xml:space="preserve"> 投标保证金交纳凭证</w:t>
      </w:r>
    </w:p>
    <w:p w14:paraId="4F32DBE7">
      <w:pPr>
        <w:spacing w:line="300" w:lineRule="auto"/>
        <w:jc w:val="center"/>
        <w:rPr>
          <w:b/>
          <w:color w:val="auto"/>
          <w:sz w:val="28"/>
          <w:szCs w:val="28"/>
          <w:highlight w:val="none"/>
          <w:u w:val="single"/>
        </w:rPr>
      </w:pPr>
      <w:r>
        <w:rPr>
          <w:rFonts w:hint="eastAsia"/>
          <w:b/>
          <w:color w:val="auto"/>
          <w:sz w:val="28"/>
          <w:szCs w:val="28"/>
          <w:highlight w:val="none"/>
        </w:rPr>
        <w:t>投标保证金交纳凭证</w:t>
      </w:r>
    </w:p>
    <w:p w14:paraId="30CB80AA">
      <w:pPr>
        <w:tabs>
          <w:tab w:val="left" w:pos="525"/>
        </w:tabs>
        <w:spacing w:line="360" w:lineRule="auto"/>
        <w:rPr>
          <w:color w:val="auto"/>
          <w:szCs w:val="21"/>
          <w:highlight w:val="none"/>
        </w:rPr>
      </w:pPr>
      <w:r>
        <w:rPr>
          <w:rFonts w:hint="eastAsia"/>
          <w:color w:val="auto"/>
          <w:szCs w:val="21"/>
          <w:highlight w:val="none"/>
          <w:u w:val="single"/>
        </w:rPr>
        <w:t>（招标人）：</w:t>
      </w:r>
    </w:p>
    <w:p w14:paraId="67F282BC">
      <w:pPr>
        <w:spacing w:line="360" w:lineRule="auto"/>
        <w:rPr>
          <w:color w:val="auto"/>
          <w:szCs w:val="21"/>
          <w:highlight w:val="none"/>
        </w:rPr>
      </w:pPr>
      <w:r>
        <w:rPr>
          <w:rFonts w:hint="eastAsia"/>
          <w:color w:val="auto"/>
          <w:szCs w:val="21"/>
          <w:highlight w:val="none"/>
        </w:rPr>
        <w:t xml:space="preserve">    </w:t>
      </w:r>
      <w:r>
        <w:rPr>
          <w:rFonts w:hint="eastAsia"/>
          <w:color w:val="auto"/>
          <w:szCs w:val="21"/>
          <w:highlight w:val="none"/>
          <w:u w:val="single"/>
        </w:rPr>
        <w:t xml:space="preserve">（投标人全称) </w:t>
      </w:r>
      <w:r>
        <w:rPr>
          <w:rFonts w:hint="eastAsia"/>
          <w:color w:val="auto"/>
          <w:szCs w:val="21"/>
          <w:highlight w:val="none"/>
        </w:rPr>
        <w:t>参加贵方组织的、招标项目编号为</w:t>
      </w:r>
      <w:r>
        <w:rPr>
          <w:rFonts w:hint="eastAsia"/>
          <w:color w:val="auto"/>
          <w:szCs w:val="21"/>
          <w:highlight w:val="none"/>
          <w:u w:val="single"/>
        </w:rPr>
        <w:t xml:space="preserve">           </w:t>
      </w:r>
      <w:r>
        <w:rPr>
          <w:rFonts w:hint="eastAsia"/>
          <w:color w:val="auto"/>
          <w:szCs w:val="21"/>
          <w:highlight w:val="none"/>
        </w:rPr>
        <w:t>的采购活动。按招标文件的规定，已通过（现金、转账等）形式交纳人民币</w:t>
      </w:r>
      <w:r>
        <w:rPr>
          <w:rFonts w:hint="eastAsia"/>
          <w:color w:val="auto"/>
          <w:szCs w:val="21"/>
          <w:highlight w:val="none"/>
          <w:u w:val="single"/>
        </w:rPr>
        <w:t xml:space="preserve">（大写）  　　  </w:t>
      </w:r>
      <w:r>
        <w:rPr>
          <w:rFonts w:hint="eastAsia"/>
          <w:color w:val="auto"/>
          <w:szCs w:val="21"/>
          <w:highlight w:val="none"/>
        </w:rPr>
        <w:t>元的投标保证金。</w:t>
      </w:r>
    </w:p>
    <w:p w14:paraId="52B83D00">
      <w:pPr>
        <w:spacing w:line="360" w:lineRule="auto"/>
        <w:ind w:firstLine="420" w:firstLineChars="200"/>
        <w:rPr>
          <w:color w:val="auto"/>
          <w:szCs w:val="21"/>
          <w:highlight w:val="none"/>
        </w:rPr>
      </w:pPr>
      <w:r>
        <w:rPr>
          <w:rFonts w:hint="eastAsia"/>
          <w:color w:val="auto"/>
          <w:szCs w:val="21"/>
          <w:highlight w:val="none"/>
        </w:rPr>
        <w:t>投标人名称：</w:t>
      </w:r>
      <w:r>
        <w:rPr>
          <w:rFonts w:hint="eastAsia"/>
          <w:color w:val="auto"/>
          <w:szCs w:val="21"/>
          <w:highlight w:val="none"/>
          <w:u w:val="single"/>
        </w:rPr>
        <w:t xml:space="preserve">                     </w:t>
      </w:r>
    </w:p>
    <w:p w14:paraId="2FB08EDD">
      <w:pPr>
        <w:spacing w:line="360" w:lineRule="auto"/>
        <w:ind w:firstLine="420" w:firstLineChars="200"/>
        <w:rPr>
          <w:color w:val="auto"/>
          <w:szCs w:val="21"/>
          <w:highlight w:val="none"/>
        </w:rPr>
      </w:pPr>
      <w:r>
        <w:rPr>
          <w:rFonts w:hint="eastAsia"/>
          <w:color w:val="auto"/>
          <w:szCs w:val="21"/>
          <w:highlight w:val="none"/>
        </w:rPr>
        <w:t>投标人开户银行：</w:t>
      </w:r>
      <w:r>
        <w:rPr>
          <w:rFonts w:hint="eastAsia"/>
          <w:color w:val="auto"/>
          <w:szCs w:val="21"/>
          <w:highlight w:val="none"/>
          <w:u w:val="single"/>
        </w:rPr>
        <w:t xml:space="preserve">                 </w:t>
      </w:r>
    </w:p>
    <w:p w14:paraId="012EFBE5">
      <w:pPr>
        <w:spacing w:line="360" w:lineRule="auto"/>
        <w:ind w:firstLine="420" w:firstLineChars="200"/>
        <w:rPr>
          <w:color w:val="auto"/>
          <w:szCs w:val="21"/>
          <w:highlight w:val="none"/>
          <w:u w:val="single"/>
        </w:rPr>
      </w:pPr>
      <w:r>
        <w:rPr>
          <w:rFonts w:hint="eastAsia"/>
          <w:color w:val="auto"/>
          <w:szCs w:val="21"/>
          <w:highlight w:val="none"/>
        </w:rPr>
        <w:t>投标人银行账号：</w:t>
      </w:r>
      <w:r>
        <w:rPr>
          <w:rFonts w:hint="eastAsia"/>
          <w:color w:val="auto"/>
          <w:szCs w:val="21"/>
          <w:highlight w:val="none"/>
          <w:u w:val="single"/>
        </w:rPr>
        <w:t xml:space="preserve">                 </w:t>
      </w:r>
    </w:p>
    <w:p w14:paraId="3CE7E952">
      <w:pPr>
        <w:spacing w:line="360" w:lineRule="auto"/>
        <w:ind w:firstLine="420" w:firstLineChars="200"/>
        <w:rPr>
          <w:color w:val="auto"/>
          <w:szCs w:val="21"/>
          <w:highlight w:val="none"/>
        </w:rPr>
      </w:pPr>
      <w:r>
        <w:rPr>
          <w:rFonts w:hint="eastAsia"/>
          <w:color w:val="auto"/>
          <w:szCs w:val="21"/>
          <w:highlight w:val="none"/>
        </w:rPr>
        <w:t>说明：1.上述要素供银行转账及银行汇款方式填写，其他形式可不填。其他方式以现场递交为依据。</w:t>
      </w:r>
    </w:p>
    <w:p w14:paraId="794D21BB">
      <w:pPr>
        <w:autoSpaceDE w:val="0"/>
        <w:autoSpaceDN w:val="0"/>
        <w:spacing w:line="360" w:lineRule="auto"/>
        <w:ind w:left="479" w:leftChars="228" w:firstLine="630" w:firstLineChars="300"/>
        <w:rPr>
          <w:color w:val="auto"/>
          <w:szCs w:val="21"/>
          <w:highlight w:val="none"/>
        </w:rPr>
      </w:pPr>
      <w:r>
        <w:rPr>
          <w:rFonts w:hint="eastAsia"/>
          <w:color w:val="auto"/>
          <w:szCs w:val="21"/>
          <w:highlight w:val="none"/>
        </w:rPr>
        <w:t>2.上述要素的填写必须与银行转账或银行汇款凭证的要素一致，</w:t>
      </w:r>
      <w:r>
        <w:rPr>
          <w:rFonts w:hint="eastAsia"/>
          <w:color w:val="auto"/>
          <w:szCs w:val="21"/>
          <w:highlight w:val="none"/>
          <w:u w:val="single"/>
          <w:lang w:eastAsia="zh-CN"/>
        </w:rPr>
        <w:t>招标人</w:t>
      </w:r>
      <w:r>
        <w:rPr>
          <w:rFonts w:hint="eastAsia"/>
          <w:color w:val="auto"/>
          <w:szCs w:val="21"/>
          <w:highlight w:val="none"/>
        </w:rPr>
        <w:t>依据此凭证信息退还投标保证金。</w:t>
      </w:r>
    </w:p>
    <w:p w14:paraId="38136DE5">
      <w:pPr>
        <w:adjustRightInd w:val="0"/>
        <w:snapToGrid w:val="0"/>
        <w:spacing w:line="360" w:lineRule="auto"/>
        <w:rPr>
          <w:color w:val="auto"/>
          <w:szCs w:val="21"/>
          <w:highlight w:val="none"/>
        </w:rPr>
      </w:pPr>
    </w:p>
    <w:p w14:paraId="355FFE2B">
      <w:pPr>
        <w:adjustRightInd w:val="0"/>
        <w:snapToGrid w:val="0"/>
        <w:spacing w:line="360" w:lineRule="auto"/>
        <w:rPr>
          <w:color w:val="auto"/>
          <w:szCs w:val="21"/>
          <w:highlight w:val="none"/>
          <w:u w:val="single"/>
        </w:rPr>
      </w:pPr>
      <w:r>
        <w:rPr>
          <w:rFonts w:hint="eastAsia"/>
          <w:color w:val="auto"/>
          <w:szCs w:val="21"/>
          <w:highlight w:val="none"/>
        </w:rPr>
        <w:t>投标人名称：</w:t>
      </w:r>
      <w:r>
        <w:rPr>
          <w:rFonts w:hint="eastAsia"/>
          <w:color w:val="auto"/>
          <w:szCs w:val="21"/>
          <w:highlight w:val="none"/>
          <w:u w:val="single"/>
        </w:rPr>
        <w:t xml:space="preserve">                        </w:t>
      </w:r>
    </w:p>
    <w:p w14:paraId="79EA8F89">
      <w:pPr>
        <w:adjustRightInd w:val="0"/>
        <w:snapToGrid w:val="0"/>
        <w:spacing w:line="360" w:lineRule="auto"/>
        <w:rPr>
          <w:color w:val="auto"/>
          <w:szCs w:val="21"/>
          <w:highlight w:val="none"/>
          <w:u w:val="single"/>
        </w:rPr>
      </w:pPr>
      <w:r>
        <w:rPr>
          <w:rFonts w:hint="eastAsia"/>
          <w:color w:val="auto"/>
          <w:szCs w:val="21"/>
          <w:highlight w:val="none"/>
        </w:rPr>
        <w:t>日期：   年   月   日</w:t>
      </w:r>
    </w:p>
    <w:p w14:paraId="717A4C2F">
      <w:pPr>
        <w:adjustRightInd w:val="0"/>
        <w:snapToGrid w:val="0"/>
        <w:spacing w:line="360" w:lineRule="auto"/>
        <w:rPr>
          <w:color w:val="auto"/>
          <w:szCs w:val="21"/>
          <w:highlight w:val="none"/>
          <w:u w:val="single"/>
        </w:rPr>
      </w:pPr>
      <w:r>
        <w:rPr>
          <w:rFonts w:hint="eastAsia"/>
          <w:color w:val="auto"/>
          <w:szCs w:val="21"/>
          <w:highlight w:val="none"/>
        </w:rPr>
        <w:t xml:space="preserve">附： </w:t>
      </w:r>
    </w:p>
    <w:tbl>
      <w:tblPr>
        <w:tblStyle w:val="22"/>
        <w:tblW w:w="4846" w:type="pct"/>
        <w:tblInd w:w="2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1"/>
      </w:tblGrid>
      <w:tr w14:paraId="589D2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8" w:hRule="atLeast"/>
        </w:trPr>
        <w:tc>
          <w:tcPr>
            <w:tcW w:w="5000" w:type="pct"/>
          </w:tcPr>
          <w:p w14:paraId="07AEAC06">
            <w:pPr>
              <w:spacing w:line="360" w:lineRule="auto"/>
              <w:rPr>
                <w:color w:val="auto"/>
                <w:szCs w:val="21"/>
                <w:highlight w:val="none"/>
              </w:rPr>
            </w:pPr>
            <w:r>
              <w:rPr>
                <w:rFonts w:hint="eastAsia"/>
                <w:color w:val="auto"/>
                <w:szCs w:val="21"/>
                <w:highlight w:val="none"/>
              </w:rPr>
              <w:t>粘贴转账的银行凭证扫描件</w:t>
            </w:r>
          </w:p>
        </w:tc>
      </w:tr>
    </w:tbl>
    <w:p w14:paraId="1085403A">
      <w:pPr>
        <w:spacing w:line="360" w:lineRule="auto"/>
        <w:rPr>
          <w:color w:val="auto"/>
          <w:szCs w:val="21"/>
          <w:highlight w:val="none"/>
        </w:rPr>
      </w:pPr>
      <w:r>
        <w:rPr>
          <w:rFonts w:hint="eastAsia"/>
          <w:color w:val="auto"/>
          <w:szCs w:val="21"/>
          <w:highlight w:val="none"/>
        </w:rPr>
        <w:t>注：1.投标人投标响应时，应当按招标文件要求交纳投标保证金。投标保证金可以采用转账、保函形式</w:t>
      </w:r>
      <w:r>
        <w:rPr>
          <w:rFonts w:hint="eastAsia"/>
          <w:color w:val="auto"/>
          <w:szCs w:val="21"/>
          <w:highlight w:val="none"/>
          <w:lang w:val="en-US" w:eastAsia="zh-CN"/>
        </w:rPr>
        <w:t>缴纳</w:t>
      </w:r>
      <w:r>
        <w:rPr>
          <w:rFonts w:hint="eastAsia"/>
          <w:color w:val="auto"/>
          <w:szCs w:val="21"/>
          <w:highlight w:val="none"/>
        </w:rPr>
        <w:t>。</w:t>
      </w:r>
    </w:p>
    <w:p w14:paraId="49A367E7">
      <w:pPr>
        <w:keepNext/>
        <w:keepLines/>
        <w:adjustRightInd w:val="0"/>
        <w:snapToGrid w:val="0"/>
        <w:spacing w:before="280" w:after="290"/>
        <w:outlineLvl w:val="3"/>
        <w:rPr>
          <w:rFonts w:ascii="Times New Roman" w:hAnsi="Times New Roman"/>
          <w:b/>
          <w:bCs/>
          <w:color w:val="auto"/>
          <w:sz w:val="28"/>
          <w:szCs w:val="28"/>
          <w:highlight w:val="none"/>
        </w:rPr>
      </w:pPr>
      <w:r>
        <w:rPr>
          <w:color w:val="auto"/>
          <w:sz w:val="24"/>
          <w:szCs w:val="24"/>
          <w:highlight w:val="none"/>
        </w:rPr>
        <w:br w:type="page"/>
      </w:r>
      <w:bookmarkStart w:id="37" w:name="_Hlk76483736"/>
      <w:r>
        <w:rPr>
          <w:rFonts w:hint="eastAsia" w:ascii="Times New Roman" w:hAnsi="Times New Roman"/>
          <w:b/>
          <w:bCs/>
          <w:color w:val="auto"/>
          <w:sz w:val="28"/>
          <w:szCs w:val="28"/>
          <w:highlight w:val="none"/>
        </w:rPr>
        <w:t>3.4 关于资格的声明函</w:t>
      </w:r>
    </w:p>
    <w:p w14:paraId="5E1EEDBC">
      <w:pPr>
        <w:widowControl/>
        <w:snapToGrid w:val="0"/>
        <w:spacing w:line="360" w:lineRule="auto"/>
        <w:jc w:val="center"/>
        <w:rPr>
          <w:rFonts w:ascii="Times New Roman" w:hAnsi="Times New Roman"/>
          <w:b/>
          <w:color w:val="auto"/>
          <w:kern w:val="28"/>
          <w:sz w:val="32"/>
          <w:szCs w:val="32"/>
          <w:highlight w:val="none"/>
        </w:rPr>
      </w:pPr>
      <w:r>
        <w:rPr>
          <w:rFonts w:hint="eastAsia" w:ascii="Times New Roman" w:hAnsi="Times New Roman"/>
          <w:b/>
          <w:color w:val="auto"/>
          <w:kern w:val="28"/>
          <w:sz w:val="32"/>
          <w:szCs w:val="32"/>
          <w:highlight w:val="none"/>
        </w:rPr>
        <w:t>资格声明函</w:t>
      </w:r>
    </w:p>
    <w:p w14:paraId="0BA03EA9">
      <w:pPr>
        <w:widowControl/>
        <w:snapToGrid w:val="0"/>
        <w:spacing w:line="360" w:lineRule="auto"/>
        <w:jc w:val="left"/>
        <w:rPr>
          <w:rFonts w:hint="eastAsia" w:ascii="宋体" w:hAnsi="宋体"/>
          <w:color w:val="auto"/>
          <w:kern w:val="0"/>
          <w:szCs w:val="21"/>
          <w:highlight w:val="none"/>
        </w:rPr>
      </w:pPr>
      <w:r>
        <w:rPr>
          <w:rFonts w:hint="eastAsia" w:ascii="宋体" w:hAnsi="宋体"/>
          <w:color w:val="auto"/>
          <w:kern w:val="0"/>
          <w:szCs w:val="21"/>
          <w:highlight w:val="none"/>
        </w:rPr>
        <w:t>致：</w:t>
      </w:r>
      <w:r>
        <w:rPr>
          <w:rFonts w:hint="eastAsia" w:ascii="宋体" w:hAnsi="宋体"/>
          <w:color w:val="auto"/>
          <w:kern w:val="0"/>
          <w:szCs w:val="21"/>
          <w:highlight w:val="none"/>
          <w:u w:val="single"/>
        </w:rPr>
        <w:t>（招标人）</w:t>
      </w:r>
    </w:p>
    <w:p w14:paraId="028FB8CB">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关于贵方招标项目名称：____________招标项目编号：</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投标邀请，本签字人愿意参加投标响应，提供投标文件中规定的货物及服务，并证明提交的下列文件和说明是准确的和真实的。</w:t>
      </w:r>
    </w:p>
    <w:p w14:paraId="5099368E">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1.</w:t>
      </w:r>
      <w:r>
        <w:rPr>
          <w:rFonts w:ascii="宋体" w:hAnsi="宋体"/>
          <w:color w:val="auto"/>
          <w:kern w:val="0"/>
          <w:szCs w:val="21"/>
          <w:highlight w:val="none"/>
        </w:rPr>
        <w:t xml:space="preserve"> </w:t>
      </w:r>
      <w:r>
        <w:rPr>
          <w:rFonts w:hint="eastAsia" w:ascii="宋体" w:hAnsi="宋体"/>
          <w:color w:val="auto"/>
          <w:kern w:val="0"/>
          <w:szCs w:val="21"/>
          <w:highlight w:val="none"/>
        </w:rPr>
        <w:t>我方为本次投标所提交的所有证明其合格和资格的文件是真实的和正确的，并愿为其真实性和正确性承担法律责任；</w:t>
      </w:r>
    </w:p>
    <w:p w14:paraId="4675ACE4">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2.</w:t>
      </w:r>
      <w:r>
        <w:rPr>
          <w:rFonts w:ascii="宋体" w:hAnsi="宋体"/>
          <w:color w:val="auto"/>
          <w:kern w:val="0"/>
          <w:szCs w:val="21"/>
          <w:highlight w:val="none"/>
        </w:rPr>
        <w:t xml:space="preserve"> </w:t>
      </w:r>
      <w:r>
        <w:rPr>
          <w:rFonts w:hint="eastAsia" w:ascii="宋体" w:hAnsi="宋体"/>
          <w:color w:val="auto"/>
          <w:kern w:val="0"/>
          <w:szCs w:val="21"/>
          <w:highlight w:val="none"/>
        </w:rPr>
        <w:t>我方是依法注册的法人，在法律上、财务上和运作上完全独立于</w:t>
      </w:r>
      <w:r>
        <w:rPr>
          <w:rFonts w:hint="eastAsia" w:ascii="宋体" w:hAnsi="宋体"/>
          <w:color w:val="auto"/>
          <w:kern w:val="0"/>
          <w:szCs w:val="21"/>
          <w:highlight w:val="none"/>
          <w:u w:val="single"/>
        </w:rPr>
        <w:t>（招标人名称）</w:t>
      </w:r>
      <w:r>
        <w:rPr>
          <w:rFonts w:hint="eastAsia" w:ascii="宋体" w:hAnsi="宋体"/>
          <w:color w:val="auto"/>
          <w:kern w:val="0"/>
          <w:szCs w:val="21"/>
          <w:highlight w:val="none"/>
        </w:rPr>
        <w:t>（招标人）；</w:t>
      </w:r>
    </w:p>
    <w:p w14:paraId="1B4BAD5A">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 xml:space="preserve"> </w:t>
      </w:r>
      <w:r>
        <w:rPr>
          <w:rFonts w:hint="eastAsia" w:ascii="宋体" w:hAnsi="宋体"/>
          <w:color w:val="auto"/>
          <w:kern w:val="0"/>
          <w:szCs w:val="21"/>
          <w:highlight w:val="none"/>
        </w:rPr>
        <w:t>我方在参加本次投标前三年内，在经营活动中没有重大违法记录。</w:t>
      </w:r>
    </w:p>
    <w:p w14:paraId="394CFF44">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4. 我方承诺未与</w:t>
      </w:r>
      <w:r>
        <w:rPr>
          <w:rFonts w:hint="eastAsia" w:ascii="宋体" w:hAnsi="宋体"/>
          <w:color w:val="auto"/>
          <w:szCs w:val="21"/>
          <w:highlight w:val="none"/>
        </w:rPr>
        <w:t>单位负责人为同一人或者存在控股、管理关系的不同单位，同时参加本项目投标。</w:t>
      </w:r>
    </w:p>
    <w:p w14:paraId="18B3B955">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5. 我方承诺无下列任何一种情况：</w:t>
      </w:r>
    </w:p>
    <w:p w14:paraId="6D053C34">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① 处于被责令停业的状态；处于取消投标资格的处罚期内；处于财产被接管、冻结、破产的状态；近三年内发生骗取中标、严重违约和重大工程质量、安全生产事故等问题；</w:t>
      </w:r>
    </w:p>
    <w:p w14:paraId="0ABB8DB3">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② 联合体、关联方关系企业同时报名和投标。</w:t>
      </w:r>
    </w:p>
    <w:p w14:paraId="7CE2AF83">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③ 如中标后将项目分包、转包。</w:t>
      </w:r>
    </w:p>
    <w:p w14:paraId="51AE3EBD">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6. 我方保证不与其他单位围标、串标，不向邀请人或其人员行贿。</w:t>
      </w:r>
    </w:p>
    <w:p w14:paraId="4F25403D">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7. 如我方在本项目中存在串通投标、弄虚作假、行贿情形的，中标无效，接受被招标人列入黑名单并被限制投标的处罚。</w:t>
      </w:r>
    </w:p>
    <w:p w14:paraId="3279A81E">
      <w:pPr>
        <w:widowControl/>
        <w:snapToGrid w:val="0"/>
        <w:spacing w:line="360" w:lineRule="auto"/>
        <w:ind w:firstLine="435"/>
        <w:jc w:val="left"/>
        <w:rPr>
          <w:rFonts w:hint="eastAsia" w:ascii="宋体" w:hAnsi="宋体"/>
          <w:color w:val="auto"/>
          <w:kern w:val="0"/>
          <w:szCs w:val="21"/>
          <w:highlight w:val="none"/>
        </w:rPr>
      </w:pPr>
    </w:p>
    <w:p w14:paraId="401884FE">
      <w:pPr>
        <w:widowControl/>
        <w:snapToGrid w:val="0"/>
        <w:spacing w:line="360" w:lineRule="auto"/>
        <w:ind w:firstLine="435"/>
        <w:jc w:val="left"/>
        <w:rPr>
          <w:rFonts w:hint="eastAsia" w:ascii="宋体" w:hAnsi="宋体"/>
          <w:color w:val="auto"/>
          <w:kern w:val="0"/>
          <w:szCs w:val="21"/>
          <w:highlight w:val="none"/>
        </w:rPr>
      </w:pPr>
      <w:r>
        <w:rPr>
          <w:rFonts w:hint="eastAsia" w:ascii="宋体" w:hAnsi="宋体"/>
          <w:color w:val="auto"/>
          <w:kern w:val="0"/>
          <w:szCs w:val="21"/>
          <w:highlight w:val="none"/>
        </w:rPr>
        <w:t>附资格文件如下：</w:t>
      </w:r>
    </w:p>
    <w:p w14:paraId="32145368">
      <w:pPr>
        <w:widowControl/>
        <w:autoSpaceDE w:val="0"/>
        <w:autoSpaceDN w:val="0"/>
        <w:adjustRightInd w:val="0"/>
        <w:snapToGrid w:val="0"/>
        <w:spacing w:line="360" w:lineRule="auto"/>
        <w:ind w:left="510"/>
        <w:jc w:val="left"/>
        <w:textAlignment w:val="baseline"/>
        <w:rPr>
          <w:rFonts w:hint="eastAsia" w:ascii="宋体" w:hAnsi="宋体"/>
          <w:color w:val="auto"/>
          <w:kern w:val="0"/>
          <w:szCs w:val="21"/>
          <w:highlight w:val="none"/>
        </w:rPr>
      </w:pPr>
      <w:bookmarkStart w:id="38" w:name="_Hlk52290472"/>
      <w:r>
        <w:rPr>
          <w:rFonts w:hint="eastAsia" w:ascii="宋体" w:hAnsi="宋体"/>
          <w:color w:val="auto"/>
          <w:kern w:val="0"/>
          <w:szCs w:val="21"/>
          <w:highlight w:val="none"/>
        </w:rPr>
        <w:t>1. 《企业法人营业执照》扫描件；</w:t>
      </w:r>
    </w:p>
    <w:p w14:paraId="425282FE">
      <w:pPr>
        <w:widowControl/>
        <w:autoSpaceDE w:val="0"/>
        <w:autoSpaceDN w:val="0"/>
        <w:adjustRightInd w:val="0"/>
        <w:snapToGrid w:val="0"/>
        <w:spacing w:line="360" w:lineRule="auto"/>
        <w:ind w:left="510"/>
        <w:jc w:val="left"/>
        <w:textAlignment w:val="baseline"/>
        <w:rPr>
          <w:rFonts w:hint="eastAsia" w:ascii="宋体" w:hAnsi="宋体"/>
          <w:color w:val="auto"/>
          <w:kern w:val="0"/>
          <w:szCs w:val="21"/>
          <w:highlight w:val="none"/>
        </w:rPr>
      </w:pPr>
      <w:r>
        <w:rPr>
          <w:rFonts w:ascii="宋体" w:hAnsi="宋体"/>
          <w:color w:val="auto"/>
          <w:kern w:val="0"/>
          <w:szCs w:val="21"/>
          <w:highlight w:val="none"/>
        </w:rPr>
        <w:t>2.</w:t>
      </w:r>
      <w:r>
        <w:rPr>
          <w:rFonts w:hint="eastAsia" w:ascii="宋体" w:hAnsi="宋体"/>
          <w:color w:val="auto"/>
          <w:kern w:val="0"/>
          <w:szCs w:val="21"/>
          <w:highlight w:val="none"/>
        </w:rPr>
        <w:t xml:space="preserve"> </w:t>
      </w:r>
      <w:r>
        <w:rPr>
          <w:rFonts w:hint="eastAsia" w:ascii="宋体" w:hAnsi="宋体"/>
          <w:color w:val="auto"/>
          <w:szCs w:val="21"/>
          <w:highlight w:val="none"/>
        </w:rPr>
        <w:t>须提供</w:t>
      </w:r>
      <w:r>
        <w:rPr>
          <w:rFonts w:hint="eastAsia" w:ascii="宋体" w:hAnsi="宋体" w:cs="宋体"/>
          <w:color w:val="auto"/>
          <w:kern w:val="0"/>
          <w:szCs w:val="21"/>
          <w:highlight w:val="none"/>
        </w:rPr>
        <w:t>投标人</w:t>
      </w:r>
      <w:r>
        <w:rPr>
          <w:rFonts w:hint="eastAsia" w:ascii="宋体" w:hAnsi="宋体"/>
          <w:color w:val="auto"/>
          <w:szCs w:val="21"/>
          <w:highlight w:val="none"/>
        </w:rPr>
        <w:t>是所投家具的制造商的证明材料；</w:t>
      </w:r>
    </w:p>
    <w:p w14:paraId="17884931">
      <w:pPr>
        <w:widowControl/>
        <w:autoSpaceDE w:val="0"/>
        <w:autoSpaceDN w:val="0"/>
        <w:adjustRightInd w:val="0"/>
        <w:snapToGrid w:val="0"/>
        <w:spacing w:line="360" w:lineRule="auto"/>
        <w:ind w:left="510"/>
        <w:jc w:val="left"/>
        <w:textAlignment w:val="baseline"/>
        <w:rPr>
          <w:rFonts w:hint="eastAsia" w:ascii="宋体" w:hAnsi="宋体"/>
          <w:color w:val="auto"/>
          <w:kern w:val="0"/>
          <w:szCs w:val="21"/>
          <w:highlight w:val="none"/>
        </w:rPr>
      </w:pPr>
      <w:r>
        <w:rPr>
          <w:rFonts w:hint="eastAsia" w:ascii="宋体" w:hAnsi="宋体"/>
          <w:color w:val="auto"/>
          <w:kern w:val="0"/>
          <w:szCs w:val="21"/>
          <w:highlight w:val="none"/>
        </w:rPr>
        <w:t>3. 其它有效文件：按“合格投标人条件”、“第四部分</w:t>
      </w:r>
      <w:r>
        <w:rPr>
          <w:rFonts w:ascii="宋体" w:hAnsi="宋体"/>
          <w:color w:val="auto"/>
          <w:kern w:val="0"/>
          <w:szCs w:val="21"/>
          <w:highlight w:val="none"/>
        </w:rPr>
        <w:t xml:space="preserve"> 评标方法”《详细</w:t>
      </w:r>
      <w:r>
        <w:rPr>
          <w:rFonts w:hint="eastAsia" w:ascii="宋体" w:hAnsi="宋体"/>
          <w:color w:val="auto"/>
          <w:kern w:val="0"/>
          <w:szCs w:val="21"/>
          <w:highlight w:val="none"/>
          <w:lang w:eastAsia="zh-CN"/>
        </w:rPr>
        <w:t>评标</w:t>
      </w:r>
      <w:r>
        <w:rPr>
          <w:rFonts w:ascii="宋体" w:hAnsi="宋体"/>
          <w:color w:val="auto"/>
          <w:kern w:val="0"/>
          <w:szCs w:val="21"/>
          <w:highlight w:val="none"/>
        </w:rPr>
        <w:t>表》要求提供</w:t>
      </w:r>
      <w:r>
        <w:rPr>
          <w:rFonts w:hint="eastAsia" w:ascii="宋体" w:hAnsi="宋体"/>
          <w:color w:val="auto"/>
          <w:kern w:val="0"/>
          <w:szCs w:val="21"/>
          <w:highlight w:val="none"/>
        </w:rPr>
        <w:t>。</w:t>
      </w:r>
    </w:p>
    <w:bookmarkEnd w:id="38"/>
    <w:p w14:paraId="594A64C2">
      <w:pPr>
        <w:widowControl/>
        <w:snapToGrid w:val="0"/>
        <w:spacing w:line="360" w:lineRule="auto"/>
        <w:jc w:val="left"/>
        <w:rPr>
          <w:rFonts w:hint="eastAsia" w:ascii="宋体" w:hAnsi="宋体"/>
          <w:color w:val="auto"/>
          <w:kern w:val="0"/>
          <w:szCs w:val="21"/>
          <w:highlight w:val="none"/>
        </w:rPr>
      </w:pPr>
    </w:p>
    <w:p w14:paraId="742E430C">
      <w:pPr>
        <w:widowControl/>
        <w:tabs>
          <w:tab w:val="left" w:pos="840"/>
        </w:tabs>
        <w:snapToGrid w:val="0"/>
        <w:spacing w:line="360" w:lineRule="auto"/>
        <w:jc w:val="left"/>
        <w:rPr>
          <w:rFonts w:hint="eastAsia" w:ascii="宋体" w:hAnsi="宋体"/>
          <w:color w:val="auto"/>
          <w:kern w:val="0"/>
          <w:szCs w:val="21"/>
          <w:highlight w:val="none"/>
        </w:rPr>
      </w:pPr>
    </w:p>
    <w:p w14:paraId="5DD9018D">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6220243E">
      <w:pPr>
        <w:spacing w:after="120" w:line="360" w:lineRule="exact"/>
        <w:jc w:val="left"/>
        <w:rPr>
          <w:color w:val="auto"/>
          <w:sz w:val="16"/>
          <w:szCs w:val="21"/>
          <w:highlight w:val="none"/>
        </w:rPr>
      </w:pPr>
      <w:r>
        <w:rPr>
          <w:rFonts w:hint="eastAsia"/>
          <w:color w:val="auto"/>
          <w:szCs w:val="21"/>
          <w:highlight w:val="none"/>
        </w:rPr>
        <w:t>日期：   年   月   日</w:t>
      </w:r>
    </w:p>
    <w:p w14:paraId="16BF6A74">
      <w:pPr>
        <w:keepNext/>
        <w:keepLines/>
        <w:adjustRightInd w:val="0"/>
        <w:snapToGrid w:val="0"/>
        <w:spacing w:before="280" w:after="290"/>
        <w:outlineLvl w:val="3"/>
        <w:rPr>
          <w:rFonts w:ascii="Times New Roman" w:hAnsi="Times New Roman"/>
          <w:b/>
          <w:bCs/>
          <w:color w:val="auto"/>
          <w:sz w:val="28"/>
          <w:szCs w:val="28"/>
          <w:highlight w:val="none"/>
        </w:rPr>
      </w:pPr>
      <w:r>
        <w:rPr>
          <w:color w:val="auto"/>
          <w:sz w:val="24"/>
          <w:szCs w:val="24"/>
          <w:highlight w:val="none"/>
        </w:rPr>
        <w:br w:type="page"/>
      </w:r>
      <w:bookmarkEnd w:id="37"/>
      <w:bookmarkStart w:id="39" w:name="_Hlk76483855"/>
      <w:r>
        <w:rPr>
          <w:rFonts w:hint="eastAsia" w:ascii="Times New Roman" w:hAnsi="Times New Roman"/>
          <w:b/>
          <w:bCs/>
          <w:color w:val="auto"/>
          <w:sz w:val="28"/>
          <w:szCs w:val="28"/>
          <w:highlight w:val="none"/>
        </w:rPr>
        <w:t>3.5 投标承诺书</w:t>
      </w:r>
    </w:p>
    <w:p w14:paraId="4FCF5BD3">
      <w:pPr>
        <w:widowControl/>
        <w:snapToGrid w:val="0"/>
        <w:spacing w:line="360" w:lineRule="auto"/>
        <w:jc w:val="center"/>
        <w:rPr>
          <w:rFonts w:hint="eastAsia" w:ascii="宋体" w:hAnsi="宋体"/>
          <w:color w:val="auto"/>
          <w:kern w:val="0"/>
          <w:szCs w:val="20"/>
          <w:highlight w:val="none"/>
        </w:rPr>
      </w:pPr>
      <w:r>
        <w:rPr>
          <w:rFonts w:hint="eastAsia" w:ascii="Times New Roman" w:hAnsi="Times New Roman"/>
          <w:b/>
          <w:color w:val="auto"/>
          <w:kern w:val="28"/>
          <w:sz w:val="32"/>
          <w:szCs w:val="32"/>
          <w:highlight w:val="none"/>
        </w:rPr>
        <w:t>投标承诺书</w:t>
      </w:r>
      <w:r>
        <w:rPr>
          <w:rFonts w:ascii="Times New Roman" w:hAnsi="Times New Roman"/>
          <w:color w:val="auto"/>
          <w:kern w:val="0"/>
          <w:szCs w:val="20"/>
          <w:highlight w:val="none"/>
        </w:rPr>
        <w:tab/>
      </w:r>
    </w:p>
    <w:p w14:paraId="67D09DCD">
      <w:pPr>
        <w:widowControl/>
        <w:snapToGrid w:val="0"/>
        <w:spacing w:line="360" w:lineRule="auto"/>
        <w:jc w:val="left"/>
        <w:rPr>
          <w:rFonts w:hint="eastAsia" w:ascii="宋体" w:hAnsi="宋体"/>
          <w:b/>
          <w:color w:val="auto"/>
          <w:kern w:val="0"/>
          <w:szCs w:val="21"/>
          <w:highlight w:val="none"/>
          <w:u w:val="single"/>
        </w:rPr>
      </w:pPr>
      <w:r>
        <w:rPr>
          <w:rFonts w:hint="eastAsia" w:ascii="宋体" w:hAnsi="宋体"/>
          <w:b/>
          <w:color w:val="auto"/>
          <w:kern w:val="0"/>
          <w:szCs w:val="21"/>
          <w:highlight w:val="none"/>
          <w:u w:val="single"/>
        </w:rPr>
        <w:t>（招标人名称）：</w:t>
      </w:r>
    </w:p>
    <w:p w14:paraId="4A8BD355">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本投标人已详细阅读了</w:t>
      </w:r>
      <w:r>
        <w:rPr>
          <w:rFonts w:hint="eastAsia" w:ascii="宋体" w:hAnsi="宋体"/>
          <w:color w:val="auto"/>
          <w:kern w:val="0"/>
          <w:szCs w:val="20"/>
          <w:highlight w:val="none"/>
          <w:u w:val="single"/>
        </w:rPr>
        <w:t xml:space="preserve">  （项目名称）  </w:t>
      </w:r>
      <w:r>
        <w:rPr>
          <w:rFonts w:hint="eastAsia" w:ascii="宋体" w:hAnsi="宋体"/>
          <w:color w:val="auto"/>
          <w:kern w:val="0"/>
          <w:szCs w:val="20"/>
          <w:highlight w:val="none"/>
        </w:rPr>
        <w:t>招标文件，自愿参加上述项目投标，现就有关事项向招标人郑重承诺如下：</w:t>
      </w:r>
    </w:p>
    <w:p w14:paraId="5F43E5FB">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1.</w:t>
      </w:r>
      <w:r>
        <w:rPr>
          <w:rFonts w:ascii="宋体" w:hAnsi="宋体"/>
          <w:color w:val="auto"/>
          <w:kern w:val="0"/>
          <w:szCs w:val="20"/>
          <w:highlight w:val="none"/>
        </w:rPr>
        <w:t xml:space="preserve"> </w:t>
      </w:r>
      <w:r>
        <w:rPr>
          <w:rFonts w:hint="eastAsia" w:ascii="宋体" w:hAnsi="宋体"/>
          <w:color w:val="auto"/>
          <w:kern w:val="0"/>
          <w:szCs w:val="20"/>
          <w:highlight w:val="none"/>
        </w:rPr>
        <w:t>本投标人自愿在招标文件规定的时限内按照招标文件及采购合同、用户需求书、技术规范等要求完成采购任务，按时交货并验收合格。货物质量按照投标文件的承诺并满足招标文件要求。</w:t>
      </w:r>
    </w:p>
    <w:p w14:paraId="7C1BF2D7">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2.</w:t>
      </w:r>
      <w:r>
        <w:rPr>
          <w:rFonts w:ascii="宋体" w:hAnsi="宋体"/>
          <w:color w:val="auto"/>
          <w:kern w:val="0"/>
          <w:szCs w:val="20"/>
          <w:highlight w:val="none"/>
        </w:rPr>
        <w:t xml:space="preserve"> </w:t>
      </w:r>
      <w:r>
        <w:rPr>
          <w:rFonts w:hint="eastAsia" w:ascii="宋体" w:hAnsi="宋体"/>
          <w:color w:val="auto"/>
          <w:kern w:val="0"/>
          <w:szCs w:val="20"/>
          <w:highlight w:val="none"/>
        </w:rPr>
        <w:t>遵守中华人民共和国、广东省、广州市有关采购、招标投标的法律法规规定，自觉维护市场经济秩序。否则，同意被废除投标资格并接受处罚。</w:t>
      </w:r>
    </w:p>
    <w:p w14:paraId="2BC17896">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3.</w:t>
      </w:r>
      <w:r>
        <w:rPr>
          <w:rFonts w:ascii="宋体" w:hAnsi="宋体"/>
          <w:color w:val="auto"/>
          <w:kern w:val="0"/>
          <w:szCs w:val="20"/>
          <w:highlight w:val="none"/>
        </w:rPr>
        <w:t xml:space="preserve"> </w:t>
      </w:r>
      <w:r>
        <w:rPr>
          <w:rFonts w:hint="eastAsia" w:ascii="宋体" w:hAnsi="宋体"/>
          <w:color w:val="auto"/>
          <w:kern w:val="0"/>
          <w:szCs w:val="20"/>
          <w:highlight w:val="none"/>
        </w:rPr>
        <w:t>保证投标文件内容无任何虚假。若评标过程中查出有虚假，同意作无效投标文件处理并</w:t>
      </w:r>
      <w:r>
        <w:rPr>
          <w:rFonts w:hint="eastAsia" w:ascii="宋体" w:hAnsi="宋体"/>
          <w:color w:val="auto"/>
          <w:highlight w:val="none"/>
        </w:rPr>
        <w:t>不予退还</w:t>
      </w:r>
      <w:r>
        <w:rPr>
          <w:rFonts w:hint="eastAsia" w:ascii="宋体" w:hAnsi="宋体"/>
          <w:color w:val="auto"/>
          <w:kern w:val="0"/>
          <w:szCs w:val="20"/>
          <w:highlight w:val="none"/>
        </w:rPr>
        <w:t>投标担保，若中标之后查出有虚假，同意废除中标资格并</w:t>
      </w:r>
      <w:r>
        <w:rPr>
          <w:rFonts w:hint="eastAsia" w:ascii="宋体" w:hAnsi="宋体"/>
          <w:color w:val="auto"/>
          <w:highlight w:val="none"/>
        </w:rPr>
        <w:t>不予退还</w:t>
      </w:r>
      <w:r>
        <w:rPr>
          <w:rFonts w:hint="eastAsia" w:ascii="宋体" w:hAnsi="宋体"/>
          <w:color w:val="auto"/>
          <w:kern w:val="0"/>
          <w:szCs w:val="20"/>
          <w:highlight w:val="none"/>
        </w:rPr>
        <w:t>投标担保。</w:t>
      </w:r>
    </w:p>
    <w:p w14:paraId="68426160">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4.</w:t>
      </w:r>
      <w:r>
        <w:rPr>
          <w:rFonts w:ascii="宋体" w:hAnsi="宋体"/>
          <w:color w:val="auto"/>
          <w:kern w:val="0"/>
          <w:szCs w:val="20"/>
          <w:highlight w:val="none"/>
        </w:rPr>
        <w:t xml:space="preserve"> </w:t>
      </w:r>
      <w:r>
        <w:rPr>
          <w:rFonts w:hint="eastAsia" w:ascii="宋体" w:hAnsi="宋体"/>
          <w:color w:val="auto"/>
          <w:kern w:val="0"/>
          <w:szCs w:val="20"/>
          <w:highlight w:val="none"/>
        </w:rPr>
        <w:t>保证投标文件不存在低于成本的恶意报价行为。</w:t>
      </w:r>
    </w:p>
    <w:p w14:paraId="2C515E76">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5.</w:t>
      </w:r>
      <w:r>
        <w:rPr>
          <w:rFonts w:ascii="宋体" w:hAnsi="宋体"/>
          <w:color w:val="auto"/>
          <w:kern w:val="0"/>
          <w:szCs w:val="20"/>
          <w:highlight w:val="none"/>
        </w:rPr>
        <w:t xml:space="preserve"> </w:t>
      </w:r>
      <w:r>
        <w:rPr>
          <w:rFonts w:hint="eastAsia" w:ascii="宋体" w:hAnsi="宋体"/>
          <w:color w:val="auto"/>
          <w:kern w:val="0"/>
          <w:szCs w:val="20"/>
          <w:highlight w:val="none"/>
        </w:rPr>
        <w:t>保证按照招标文件及中标通知书规定提交履约担保并商签采购合同，对招标文件“第五部分 合同书格式”中的条款项下的内容完全响应，不作任何的偏离。否则，同意接受招标人违约处罚并</w:t>
      </w:r>
      <w:r>
        <w:rPr>
          <w:rFonts w:hint="eastAsia" w:ascii="宋体" w:hAnsi="宋体"/>
          <w:color w:val="auto"/>
          <w:highlight w:val="none"/>
        </w:rPr>
        <w:t>不予退还</w:t>
      </w:r>
      <w:r>
        <w:rPr>
          <w:rFonts w:hint="eastAsia" w:ascii="宋体" w:hAnsi="宋体"/>
          <w:color w:val="auto"/>
          <w:kern w:val="0"/>
          <w:szCs w:val="20"/>
          <w:highlight w:val="none"/>
        </w:rPr>
        <w:t>投标担保。</w:t>
      </w:r>
    </w:p>
    <w:p w14:paraId="1A3138B6">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6.</w:t>
      </w:r>
      <w:r>
        <w:rPr>
          <w:rFonts w:ascii="宋体" w:hAnsi="宋体"/>
          <w:color w:val="auto"/>
          <w:kern w:val="0"/>
          <w:szCs w:val="20"/>
          <w:highlight w:val="none"/>
        </w:rPr>
        <w:t xml:space="preserve"> </w:t>
      </w:r>
      <w:r>
        <w:rPr>
          <w:rFonts w:hint="eastAsia" w:ascii="宋体" w:hAnsi="宋体"/>
          <w:color w:val="auto"/>
          <w:kern w:val="0"/>
          <w:szCs w:val="20"/>
          <w:highlight w:val="none"/>
        </w:rPr>
        <w:t>保证按照采购合同约定完成采购合同范围内的全部内容，履行保修责任。否则，同意接受招标人对投标人违约处理。</w:t>
      </w:r>
    </w:p>
    <w:p w14:paraId="26A0347E">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7.</w:t>
      </w:r>
      <w:r>
        <w:rPr>
          <w:rFonts w:ascii="宋体" w:hAnsi="宋体"/>
          <w:color w:val="auto"/>
          <w:kern w:val="0"/>
          <w:szCs w:val="20"/>
          <w:highlight w:val="none"/>
        </w:rPr>
        <w:t xml:space="preserve"> </w:t>
      </w:r>
      <w:r>
        <w:rPr>
          <w:rFonts w:hint="eastAsia" w:ascii="宋体" w:hAnsi="宋体"/>
          <w:color w:val="auto"/>
          <w:kern w:val="0"/>
          <w:szCs w:val="20"/>
          <w:highlight w:val="none"/>
        </w:rPr>
        <w:t>保证中标之后不转包，若分包将征得招标人同意并遵守相关法律法规。</w:t>
      </w:r>
    </w:p>
    <w:p w14:paraId="6BE457A0">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8.</w:t>
      </w:r>
      <w:r>
        <w:rPr>
          <w:rFonts w:ascii="宋体" w:hAnsi="宋体"/>
          <w:color w:val="auto"/>
          <w:kern w:val="0"/>
          <w:szCs w:val="20"/>
          <w:highlight w:val="none"/>
        </w:rPr>
        <w:t xml:space="preserve"> </w:t>
      </w:r>
      <w:r>
        <w:rPr>
          <w:rFonts w:hint="eastAsia" w:ascii="宋体" w:hAnsi="宋体"/>
          <w:color w:val="auto"/>
          <w:kern w:val="0"/>
          <w:szCs w:val="20"/>
          <w:highlight w:val="none"/>
        </w:rPr>
        <w:t>保证中标之后按招标文件要求向招标项目配置承诺的资源，否则，同意接受违约处罚并</w:t>
      </w:r>
      <w:r>
        <w:rPr>
          <w:rFonts w:hint="eastAsia" w:ascii="宋体" w:hAnsi="宋体"/>
          <w:color w:val="auto"/>
          <w:highlight w:val="none"/>
        </w:rPr>
        <w:t>不予退还</w:t>
      </w:r>
      <w:r>
        <w:rPr>
          <w:rFonts w:hint="eastAsia" w:ascii="宋体" w:hAnsi="宋体"/>
          <w:color w:val="auto"/>
          <w:kern w:val="0"/>
          <w:szCs w:val="20"/>
          <w:highlight w:val="none"/>
        </w:rPr>
        <w:t>投标担保。</w:t>
      </w:r>
    </w:p>
    <w:p w14:paraId="79FAF0A7">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9.</w:t>
      </w:r>
      <w:r>
        <w:rPr>
          <w:rFonts w:ascii="宋体" w:hAnsi="宋体"/>
          <w:color w:val="auto"/>
          <w:kern w:val="0"/>
          <w:szCs w:val="20"/>
          <w:highlight w:val="none"/>
        </w:rPr>
        <w:t xml:space="preserve"> </w:t>
      </w:r>
      <w:r>
        <w:rPr>
          <w:rFonts w:hint="eastAsia" w:ascii="宋体" w:hAnsi="宋体"/>
          <w:color w:val="auto"/>
          <w:kern w:val="0"/>
          <w:szCs w:val="20"/>
          <w:highlight w:val="none"/>
        </w:rPr>
        <w:t>保证中标之后密切配合招标人开展工作，接受招标人的监督管理。</w:t>
      </w:r>
    </w:p>
    <w:p w14:paraId="741BD9A5">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10.</w:t>
      </w:r>
      <w:r>
        <w:rPr>
          <w:rFonts w:ascii="宋体" w:hAnsi="宋体"/>
          <w:color w:val="auto"/>
          <w:kern w:val="0"/>
          <w:szCs w:val="20"/>
          <w:highlight w:val="none"/>
        </w:rPr>
        <w:t xml:space="preserve"> </w:t>
      </w:r>
      <w:r>
        <w:rPr>
          <w:rFonts w:hint="eastAsia" w:ascii="宋体" w:hAnsi="宋体"/>
          <w:color w:val="auto"/>
          <w:kern w:val="0"/>
          <w:szCs w:val="20"/>
          <w:highlight w:val="none"/>
        </w:rPr>
        <w:t>保证按招标文件及采购合同约定的原则处理采购调整事宜，不发生签署采购合同之后恶意索赔的行为。</w:t>
      </w:r>
    </w:p>
    <w:p w14:paraId="6C6C1F0D">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11.</w:t>
      </w:r>
      <w:r>
        <w:rPr>
          <w:rFonts w:hint="eastAsia" w:ascii="宋体" w:hAnsi="宋体"/>
          <w:b/>
          <w:bCs/>
          <w:color w:val="auto"/>
          <w:kern w:val="0"/>
          <w:szCs w:val="20"/>
          <w:highlight w:val="none"/>
        </w:rPr>
        <w:t>我方承诺</w:t>
      </w:r>
      <w:r>
        <w:rPr>
          <w:rFonts w:hint="eastAsia" w:ascii="宋体" w:hAnsi="宋体" w:cs="宋体"/>
          <w:b/>
          <w:color w:val="auto"/>
          <w:kern w:val="0"/>
          <w:szCs w:val="21"/>
          <w:highlight w:val="none"/>
        </w:rPr>
        <w:t>中标之后，在生产前必须提供本项目家具生产原材料（油漆）的《国家认可的第三方检测机构出具的有CMA或CNAS认证标识的检验报告》；在家具成品制作完成后，须将招标人指定的成品家具交由招标人独立委托的第三方检测机构进行抽样检测并合格（如需破坏性试验，实验结果为合格，由招标人承担家具破损费用；实验结果为不合格，由中标人承担家具破损费用）。</w:t>
      </w:r>
    </w:p>
    <w:p w14:paraId="6D9B3BE8">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12.</w:t>
      </w:r>
      <w:r>
        <w:rPr>
          <w:rFonts w:hint="eastAsia" w:ascii="宋体" w:hAnsi="宋体"/>
          <w:b/>
          <w:bCs/>
          <w:color w:val="auto"/>
          <w:kern w:val="0"/>
          <w:szCs w:val="20"/>
          <w:highlight w:val="none"/>
        </w:rPr>
        <w:t>我方承诺</w:t>
      </w:r>
      <w:r>
        <w:rPr>
          <w:rFonts w:hint="eastAsia" w:ascii="宋体" w:hAnsi="宋体" w:cs="宋体"/>
          <w:b/>
          <w:color w:val="auto"/>
          <w:kern w:val="0"/>
          <w:szCs w:val="21"/>
          <w:highlight w:val="none"/>
        </w:rPr>
        <w:t>中标之后，</w:t>
      </w:r>
      <w:r>
        <w:rPr>
          <w:rFonts w:hint="eastAsia" w:ascii="宋体" w:hAnsi="宋体" w:cs="宋体"/>
          <w:b/>
          <w:bCs/>
          <w:color w:val="auto"/>
          <w:kern w:val="0"/>
          <w:szCs w:val="21"/>
          <w:highlight w:val="none"/>
        </w:rPr>
        <w:t>合同签订后</w:t>
      </w:r>
      <w:r>
        <w:rPr>
          <w:rFonts w:hint="eastAsia" w:ascii="宋体" w:hAnsi="宋体" w:cs="宋体"/>
          <w:b/>
          <w:color w:val="auto"/>
          <w:kern w:val="0"/>
          <w:szCs w:val="21"/>
          <w:highlight w:val="none"/>
        </w:rPr>
        <w:t>我方负责家具工艺及具体尺寸的深化，按深化设计要求订制加工家具产品，生产过程中的品质监督。在生产家具前，必须先提供材料及成品样板（除另外说明的）给招标人，待确认后才进行订购或生产。</w:t>
      </w:r>
    </w:p>
    <w:p w14:paraId="2AB02AF9">
      <w:pPr>
        <w:widowControl/>
        <w:snapToGrid w:val="0"/>
        <w:spacing w:line="360" w:lineRule="auto"/>
        <w:ind w:firstLine="420" w:firstLineChars="200"/>
        <w:jc w:val="left"/>
        <w:rPr>
          <w:rFonts w:hint="eastAsia" w:ascii="宋体" w:hAnsi="宋体"/>
          <w:color w:val="auto"/>
          <w:kern w:val="0"/>
          <w:szCs w:val="20"/>
          <w:highlight w:val="none"/>
        </w:rPr>
      </w:pPr>
      <w:r>
        <w:rPr>
          <w:rFonts w:hint="eastAsia" w:ascii="宋体" w:hAnsi="宋体"/>
          <w:color w:val="auto"/>
          <w:kern w:val="0"/>
          <w:szCs w:val="20"/>
          <w:highlight w:val="none"/>
        </w:rPr>
        <w:t>本投标人在规定的投标有效期限内，将受招标文件的约束并履行投标文件的承诺。</w:t>
      </w:r>
    </w:p>
    <w:p w14:paraId="5A5FB115">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1EB73EE5">
      <w:pPr>
        <w:spacing w:after="120" w:line="360" w:lineRule="exact"/>
        <w:jc w:val="left"/>
        <w:rPr>
          <w:color w:val="auto"/>
          <w:szCs w:val="21"/>
          <w:highlight w:val="none"/>
        </w:rPr>
      </w:pPr>
      <w:r>
        <w:rPr>
          <w:rFonts w:hint="eastAsia"/>
          <w:color w:val="auto"/>
          <w:szCs w:val="21"/>
          <w:highlight w:val="none"/>
        </w:rPr>
        <w:t>日期：   年   月   日</w:t>
      </w:r>
      <w:bookmarkEnd w:id="39"/>
    </w:p>
    <w:p w14:paraId="68469D27">
      <w:pPr>
        <w:widowControl/>
        <w:jc w:val="left"/>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14:paraId="2DE9C6DC">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3.6 投标人认为需提供的其他资料（如有）</w:t>
      </w:r>
    </w:p>
    <w:p w14:paraId="7003FD85">
      <w:pPr>
        <w:keepNext/>
        <w:keepLines/>
        <w:widowControl/>
        <w:spacing w:after="156" w:afterLines="50" w:line="413" w:lineRule="auto"/>
        <w:outlineLvl w:val="1"/>
        <w:rPr>
          <w:rFonts w:ascii="Times New Roman" w:hAnsi="Times New Roman"/>
          <w:b/>
          <w:bCs/>
          <w:color w:val="auto"/>
          <w:kern w:val="0"/>
          <w:sz w:val="32"/>
          <w:szCs w:val="32"/>
          <w:highlight w:val="none"/>
        </w:rPr>
      </w:pPr>
      <w:r>
        <w:rPr>
          <w:rFonts w:ascii="Arial" w:hAnsi="Arial" w:eastAsia="黑体"/>
          <w:b/>
          <w:bCs/>
          <w:color w:val="auto"/>
          <w:kern w:val="0"/>
          <w:sz w:val="24"/>
          <w:szCs w:val="24"/>
          <w:highlight w:val="none"/>
        </w:rPr>
        <w:br w:type="page"/>
      </w:r>
      <w:bookmarkStart w:id="40" w:name="_Hlk52290731"/>
      <w:bookmarkStart w:id="41" w:name="_Hlk76483900"/>
      <w:r>
        <w:rPr>
          <w:rFonts w:hint="eastAsia" w:ascii="Times New Roman" w:hAnsi="Times New Roman"/>
          <w:b/>
          <w:bCs/>
          <w:color w:val="auto"/>
          <w:kern w:val="0"/>
          <w:sz w:val="32"/>
          <w:szCs w:val="32"/>
          <w:highlight w:val="none"/>
        </w:rPr>
        <w:t>四、商务部分</w:t>
      </w:r>
    </w:p>
    <w:p w14:paraId="646B26F8">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4.1</w:t>
      </w:r>
      <w:r>
        <w:rPr>
          <w:rFonts w:ascii="Times New Roman" w:hAnsi="Times New Roman"/>
          <w:b/>
          <w:bCs/>
          <w:color w:val="auto"/>
          <w:sz w:val="28"/>
          <w:szCs w:val="28"/>
          <w:highlight w:val="none"/>
        </w:rPr>
        <w:t xml:space="preserve"> </w:t>
      </w:r>
      <w:r>
        <w:rPr>
          <w:rFonts w:hint="eastAsia" w:ascii="Times New Roman" w:hAnsi="Times New Roman"/>
          <w:b/>
          <w:bCs/>
          <w:color w:val="auto"/>
          <w:sz w:val="28"/>
          <w:szCs w:val="28"/>
          <w:highlight w:val="none"/>
        </w:rPr>
        <w:t>投标人概况</w:t>
      </w:r>
    </w:p>
    <w:tbl>
      <w:tblPr>
        <w:tblStyle w:val="22"/>
        <w:tblW w:w="8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2087"/>
        <w:gridCol w:w="954"/>
        <w:gridCol w:w="1623"/>
        <w:gridCol w:w="709"/>
        <w:gridCol w:w="1864"/>
      </w:tblGrid>
      <w:tr w14:paraId="6FF9D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681" w:type="dxa"/>
            <w:vAlign w:val="center"/>
          </w:tcPr>
          <w:p w14:paraId="1F1F1FC7">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企业注册名称</w:t>
            </w:r>
          </w:p>
        </w:tc>
        <w:tc>
          <w:tcPr>
            <w:tcW w:w="7237" w:type="dxa"/>
            <w:gridSpan w:val="5"/>
            <w:vAlign w:val="center"/>
          </w:tcPr>
          <w:p w14:paraId="5E06E641">
            <w:pPr>
              <w:tabs>
                <w:tab w:val="left" w:pos="540"/>
              </w:tabs>
              <w:ind w:left="-132" w:leftChars="-64" w:right="-105" w:rightChars="-50" w:hanging="2"/>
              <w:jc w:val="center"/>
              <w:rPr>
                <w:rFonts w:hint="eastAsia" w:ascii="宋体" w:hAnsi="宋体" w:cs="宋体"/>
                <w:color w:val="auto"/>
                <w:szCs w:val="21"/>
                <w:highlight w:val="none"/>
              </w:rPr>
            </w:pPr>
          </w:p>
        </w:tc>
      </w:tr>
      <w:tr w14:paraId="615BE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681" w:type="dxa"/>
            <w:vAlign w:val="center"/>
          </w:tcPr>
          <w:p w14:paraId="474A3EF8">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纳税人主体资格</w:t>
            </w:r>
          </w:p>
        </w:tc>
        <w:tc>
          <w:tcPr>
            <w:tcW w:w="7237" w:type="dxa"/>
            <w:gridSpan w:val="5"/>
            <w:vAlign w:val="center"/>
          </w:tcPr>
          <w:p w14:paraId="030E5229">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sym w:font="Wingdings" w:char="00A8"/>
            </w:r>
            <w:r>
              <w:rPr>
                <w:rFonts w:hint="eastAsia" w:ascii="宋体" w:hAnsi="宋体" w:cs="宋体"/>
                <w:color w:val="auto"/>
                <w:szCs w:val="21"/>
                <w:highlight w:val="none"/>
              </w:rPr>
              <w:t xml:space="preserve">一般纳税人   /     </w:t>
            </w:r>
            <w:r>
              <w:rPr>
                <w:rFonts w:hint="eastAsia" w:ascii="宋体" w:hAnsi="宋体" w:cs="宋体"/>
                <w:color w:val="auto"/>
                <w:szCs w:val="21"/>
                <w:highlight w:val="none"/>
              </w:rPr>
              <w:sym w:font="Wingdings" w:char="00A8"/>
            </w:r>
            <w:r>
              <w:rPr>
                <w:rFonts w:hint="eastAsia" w:ascii="宋体" w:hAnsi="宋体" w:cs="宋体"/>
                <w:color w:val="auto"/>
                <w:szCs w:val="21"/>
                <w:highlight w:val="none"/>
              </w:rPr>
              <w:t>小规模纳税人</w:t>
            </w:r>
          </w:p>
        </w:tc>
      </w:tr>
      <w:tr w14:paraId="30B3F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681" w:type="dxa"/>
            <w:vAlign w:val="center"/>
          </w:tcPr>
          <w:p w14:paraId="62D53550">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地址</w:t>
            </w:r>
          </w:p>
        </w:tc>
        <w:tc>
          <w:tcPr>
            <w:tcW w:w="7237" w:type="dxa"/>
            <w:gridSpan w:val="5"/>
            <w:vAlign w:val="center"/>
          </w:tcPr>
          <w:p w14:paraId="37DB599E">
            <w:pPr>
              <w:tabs>
                <w:tab w:val="left" w:pos="540"/>
              </w:tabs>
              <w:ind w:left="-132" w:leftChars="-64" w:right="-105" w:rightChars="-50" w:hanging="2"/>
              <w:jc w:val="center"/>
              <w:rPr>
                <w:rFonts w:hint="eastAsia" w:ascii="宋体" w:hAnsi="宋体" w:cs="宋体"/>
                <w:color w:val="auto"/>
                <w:szCs w:val="21"/>
                <w:highlight w:val="none"/>
              </w:rPr>
            </w:pPr>
          </w:p>
        </w:tc>
      </w:tr>
      <w:tr w14:paraId="7190E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681" w:type="dxa"/>
            <w:vAlign w:val="center"/>
          </w:tcPr>
          <w:p w14:paraId="62F31D07">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主管部门</w:t>
            </w:r>
          </w:p>
        </w:tc>
        <w:tc>
          <w:tcPr>
            <w:tcW w:w="2087" w:type="dxa"/>
            <w:vAlign w:val="center"/>
          </w:tcPr>
          <w:p w14:paraId="1E49BDC9">
            <w:pPr>
              <w:tabs>
                <w:tab w:val="left" w:pos="540"/>
              </w:tabs>
              <w:ind w:left="-132" w:leftChars="-64" w:right="-105" w:rightChars="-50" w:hanging="2"/>
              <w:jc w:val="center"/>
              <w:rPr>
                <w:rFonts w:hint="eastAsia" w:ascii="宋体" w:hAnsi="宋体" w:cs="宋体"/>
                <w:color w:val="auto"/>
                <w:szCs w:val="21"/>
                <w:highlight w:val="none"/>
              </w:rPr>
            </w:pPr>
          </w:p>
        </w:tc>
        <w:tc>
          <w:tcPr>
            <w:tcW w:w="954" w:type="dxa"/>
            <w:vAlign w:val="center"/>
          </w:tcPr>
          <w:p w14:paraId="3CA749AC">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法人代表</w:t>
            </w:r>
          </w:p>
        </w:tc>
        <w:tc>
          <w:tcPr>
            <w:tcW w:w="1623" w:type="dxa"/>
            <w:vAlign w:val="center"/>
          </w:tcPr>
          <w:p w14:paraId="1CFEBAA1">
            <w:pPr>
              <w:tabs>
                <w:tab w:val="left" w:pos="540"/>
              </w:tabs>
              <w:ind w:left="-132" w:leftChars="-64" w:right="-105" w:rightChars="-50" w:hanging="2"/>
              <w:jc w:val="center"/>
              <w:rPr>
                <w:rFonts w:hint="eastAsia" w:ascii="宋体" w:hAnsi="宋体" w:cs="宋体"/>
                <w:color w:val="auto"/>
                <w:szCs w:val="21"/>
                <w:highlight w:val="none"/>
              </w:rPr>
            </w:pPr>
          </w:p>
        </w:tc>
        <w:tc>
          <w:tcPr>
            <w:tcW w:w="709" w:type="dxa"/>
            <w:vAlign w:val="center"/>
          </w:tcPr>
          <w:p w14:paraId="2A13B995">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职务</w:t>
            </w:r>
          </w:p>
        </w:tc>
        <w:tc>
          <w:tcPr>
            <w:tcW w:w="1864" w:type="dxa"/>
          </w:tcPr>
          <w:p w14:paraId="31F127B1">
            <w:pPr>
              <w:tabs>
                <w:tab w:val="left" w:pos="540"/>
              </w:tabs>
              <w:ind w:left="-132" w:leftChars="-64" w:right="-105" w:rightChars="-50" w:hanging="2"/>
              <w:jc w:val="center"/>
              <w:rPr>
                <w:rFonts w:hint="eastAsia" w:ascii="宋体" w:hAnsi="宋体" w:cs="宋体"/>
                <w:color w:val="auto"/>
                <w:szCs w:val="21"/>
                <w:highlight w:val="none"/>
              </w:rPr>
            </w:pPr>
          </w:p>
        </w:tc>
      </w:tr>
      <w:tr w14:paraId="736CB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681" w:type="dxa"/>
            <w:vAlign w:val="center"/>
          </w:tcPr>
          <w:p w14:paraId="53B56F4C">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经济类型</w:t>
            </w:r>
          </w:p>
        </w:tc>
        <w:tc>
          <w:tcPr>
            <w:tcW w:w="2087" w:type="dxa"/>
            <w:vAlign w:val="center"/>
          </w:tcPr>
          <w:p w14:paraId="053A03B2">
            <w:pPr>
              <w:tabs>
                <w:tab w:val="left" w:pos="540"/>
              </w:tabs>
              <w:ind w:left="-132" w:leftChars="-64" w:right="-105" w:rightChars="-50" w:hanging="2"/>
              <w:jc w:val="center"/>
              <w:rPr>
                <w:rFonts w:hint="eastAsia" w:ascii="宋体" w:hAnsi="宋体" w:cs="宋体"/>
                <w:color w:val="auto"/>
                <w:szCs w:val="21"/>
                <w:highlight w:val="none"/>
              </w:rPr>
            </w:pPr>
          </w:p>
        </w:tc>
        <w:tc>
          <w:tcPr>
            <w:tcW w:w="954" w:type="dxa"/>
            <w:vAlign w:val="center"/>
          </w:tcPr>
          <w:p w14:paraId="2B138218">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授权代表</w:t>
            </w:r>
          </w:p>
        </w:tc>
        <w:tc>
          <w:tcPr>
            <w:tcW w:w="1623" w:type="dxa"/>
            <w:vAlign w:val="center"/>
          </w:tcPr>
          <w:p w14:paraId="31FCB9F6">
            <w:pPr>
              <w:tabs>
                <w:tab w:val="left" w:pos="540"/>
              </w:tabs>
              <w:ind w:left="-132" w:leftChars="-64" w:right="-105" w:rightChars="-50" w:hanging="2"/>
              <w:jc w:val="center"/>
              <w:rPr>
                <w:rFonts w:hint="eastAsia" w:ascii="宋体" w:hAnsi="宋体" w:cs="宋体"/>
                <w:color w:val="auto"/>
                <w:szCs w:val="21"/>
                <w:highlight w:val="none"/>
              </w:rPr>
            </w:pPr>
          </w:p>
        </w:tc>
        <w:tc>
          <w:tcPr>
            <w:tcW w:w="709" w:type="dxa"/>
            <w:vAlign w:val="center"/>
          </w:tcPr>
          <w:p w14:paraId="7DB1390C">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职务</w:t>
            </w:r>
          </w:p>
        </w:tc>
        <w:tc>
          <w:tcPr>
            <w:tcW w:w="1864" w:type="dxa"/>
          </w:tcPr>
          <w:p w14:paraId="0944A8BB">
            <w:pPr>
              <w:tabs>
                <w:tab w:val="left" w:pos="540"/>
              </w:tabs>
              <w:ind w:left="-132" w:leftChars="-64" w:right="-105" w:rightChars="-50" w:hanging="2"/>
              <w:jc w:val="center"/>
              <w:rPr>
                <w:rFonts w:hint="eastAsia" w:ascii="宋体" w:hAnsi="宋体" w:cs="宋体"/>
                <w:color w:val="auto"/>
                <w:szCs w:val="21"/>
                <w:highlight w:val="none"/>
              </w:rPr>
            </w:pPr>
          </w:p>
        </w:tc>
      </w:tr>
      <w:tr w14:paraId="07A1D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681" w:type="dxa"/>
            <w:vAlign w:val="center"/>
          </w:tcPr>
          <w:p w14:paraId="1FFB22FC">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邮编</w:t>
            </w:r>
          </w:p>
        </w:tc>
        <w:tc>
          <w:tcPr>
            <w:tcW w:w="2087" w:type="dxa"/>
            <w:vAlign w:val="center"/>
          </w:tcPr>
          <w:p w14:paraId="0A9E406A">
            <w:pPr>
              <w:tabs>
                <w:tab w:val="left" w:pos="540"/>
              </w:tabs>
              <w:ind w:left="-132" w:leftChars="-64" w:right="-105" w:rightChars="-50" w:hanging="2"/>
              <w:jc w:val="center"/>
              <w:rPr>
                <w:rFonts w:hint="eastAsia" w:ascii="宋体" w:hAnsi="宋体" w:cs="宋体"/>
                <w:color w:val="auto"/>
                <w:szCs w:val="21"/>
                <w:highlight w:val="none"/>
              </w:rPr>
            </w:pPr>
          </w:p>
        </w:tc>
        <w:tc>
          <w:tcPr>
            <w:tcW w:w="954" w:type="dxa"/>
            <w:vAlign w:val="center"/>
          </w:tcPr>
          <w:p w14:paraId="4C5E9D74">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电话</w:t>
            </w:r>
          </w:p>
        </w:tc>
        <w:tc>
          <w:tcPr>
            <w:tcW w:w="1623" w:type="dxa"/>
            <w:vAlign w:val="center"/>
          </w:tcPr>
          <w:p w14:paraId="5994AC63">
            <w:pPr>
              <w:tabs>
                <w:tab w:val="left" w:pos="540"/>
              </w:tabs>
              <w:ind w:left="-132" w:leftChars="-64" w:right="-105" w:rightChars="-50" w:hanging="2"/>
              <w:jc w:val="center"/>
              <w:rPr>
                <w:rFonts w:hint="eastAsia" w:ascii="宋体" w:hAnsi="宋体" w:cs="宋体"/>
                <w:color w:val="auto"/>
                <w:szCs w:val="21"/>
                <w:highlight w:val="none"/>
              </w:rPr>
            </w:pPr>
          </w:p>
        </w:tc>
        <w:tc>
          <w:tcPr>
            <w:tcW w:w="709" w:type="dxa"/>
            <w:vAlign w:val="center"/>
          </w:tcPr>
          <w:p w14:paraId="44C8884A">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传真</w:t>
            </w:r>
          </w:p>
        </w:tc>
        <w:tc>
          <w:tcPr>
            <w:tcW w:w="1864" w:type="dxa"/>
          </w:tcPr>
          <w:p w14:paraId="384F7E24">
            <w:pPr>
              <w:tabs>
                <w:tab w:val="left" w:pos="540"/>
              </w:tabs>
              <w:ind w:left="-132" w:leftChars="-64" w:right="-105" w:rightChars="-50" w:hanging="2"/>
              <w:jc w:val="center"/>
              <w:rPr>
                <w:rFonts w:hint="eastAsia" w:ascii="宋体" w:hAnsi="宋体" w:cs="宋体"/>
                <w:color w:val="auto"/>
                <w:szCs w:val="21"/>
                <w:highlight w:val="none"/>
              </w:rPr>
            </w:pPr>
          </w:p>
        </w:tc>
      </w:tr>
      <w:tr w14:paraId="54B43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681" w:type="dxa"/>
            <w:vAlign w:val="center"/>
          </w:tcPr>
          <w:p w14:paraId="6B8438F5">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单位简介及机构</w:t>
            </w:r>
          </w:p>
          <w:p w14:paraId="20B84C20">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设置</w:t>
            </w:r>
          </w:p>
        </w:tc>
        <w:tc>
          <w:tcPr>
            <w:tcW w:w="7237" w:type="dxa"/>
            <w:gridSpan w:val="5"/>
          </w:tcPr>
          <w:p w14:paraId="07B8ED55">
            <w:pPr>
              <w:ind w:left="-97" w:leftChars="-47" w:hanging="2"/>
              <w:jc w:val="left"/>
              <w:rPr>
                <w:rFonts w:hint="eastAsia" w:ascii="宋体" w:hAnsi="宋体" w:cs="宋体"/>
                <w:color w:val="auto"/>
                <w:szCs w:val="21"/>
                <w:highlight w:val="none"/>
              </w:rPr>
            </w:pPr>
            <w:r>
              <w:rPr>
                <w:rFonts w:hint="eastAsia" w:ascii="宋体" w:hAnsi="宋体" w:cs="宋体"/>
                <w:color w:val="auto"/>
                <w:szCs w:val="21"/>
                <w:highlight w:val="none"/>
              </w:rPr>
              <w:tab/>
            </w:r>
          </w:p>
        </w:tc>
      </w:tr>
      <w:tr w14:paraId="0BFFE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trPr>
        <w:tc>
          <w:tcPr>
            <w:tcW w:w="1681" w:type="dxa"/>
            <w:vAlign w:val="center"/>
          </w:tcPr>
          <w:p w14:paraId="54A2AA8D">
            <w:pPr>
              <w:tabs>
                <w:tab w:val="left" w:pos="540"/>
              </w:tabs>
              <w:ind w:left="-132" w:leftChars="-64" w:right="-105" w:rightChars="-50" w:hanging="2"/>
              <w:jc w:val="center"/>
              <w:rPr>
                <w:rFonts w:hint="eastAsia" w:ascii="宋体" w:hAnsi="宋体" w:cs="宋体"/>
                <w:color w:val="auto"/>
                <w:szCs w:val="21"/>
                <w:highlight w:val="none"/>
              </w:rPr>
            </w:pPr>
            <w:r>
              <w:rPr>
                <w:rFonts w:hint="eastAsia" w:ascii="宋体" w:hAnsi="宋体" w:cs="宋体"/>
                <w:color w:val="auto"/>
                <w:szCs w:val="21"/>
                <w:highlight w:val="none"/>
              </w:rPr>
              <w:t>单位优势及特长</w:t>
            </w:r>
          </w:p>
        </w:tc>
        <w:tc>
          <w:tcPr>
            <w:tcW w:w="7237" w:type="dxa"/>
            <w:gridSpan w:val="5"/>
          </w:tcPr>
          <w:p w14:paraId="0FD2C489">
            <w:pPr>
              <w:tabs>
                <w:tab w:val="left" w:pos="540"/>
              </w:tabs>
              <w:ind w:left="-97" w:leftChars="-47" w:hanging="2"/>
              <w:jc w:val="left"/>
              <w:rPr>
                <w:rFonts w:hint="eastAsia" w:ascii="宋体" w:hAnsi="宋体" w:cs="宋体"/>
                <w:color w:val="auto"/>
                <w:szCs w:val="21"/>
                <w:highlight w:val="none"/>
              </w:rPr>
            </w:pPr>
          </w:p>
        </w:tc>
      </w:tr>
    </w:tbl>
    <w:p w14:paraId="66186783">
      <w:pPr>
        <w:spacing w:before="25" w:after="25"/>
        <w:ind w:left="840" w:hanging="840" w:hangingChars="400"/>
        <w:rPr>
          <w:rFonts w:hint="eastAsia" w:ascii="宋体" w:hAnsi="宋体"/>
          <w:bCs/>
          <w:color w:val="auto"/>
          <w:kern w:val="0"/>
          <w:szCs w:val="21"/>
          <w:highlight w:val="none"/>
          <w:lang w:val="en-GB"/>
        </w:rPr>
      </w:pPr>
      <w:r>
        <w:rPr>
          <w:rFonts w:ascii="宋体" w:hAnsi="宋体"/>
          <w:bCs/>
          <w:color w:val="auto"/>
          <w:kern w:val="0"/>
          <w:szCs w:val="21"/>
          <w:highlight w:val="none"/>
          <w:lang w:val="en-GB"/>
        </w:rPr>
        <w:t>注：1）文字描述：单位性质、发展历程、经营规模及理念、主营产品、技术力量等。</w:t>
      </w:r>
    </w:p>
    <w:p w14:paraId="07A71733">
      <w:pPr>
        <w:spacing w:before="25" w:after="25"/>
        <w:ind w:left="840" w:leftChars="200" w:hanging="420" w:hangingChars="200"/>
        <w:rPr>
          <w:rFonts w:hint="eastAsia" w:ascii="宋体" w:hAnsi="宋体"/>
          <w:bCs/>
          <w:color w:val="auto"/>
          <w:kern w:val="0"/>
          <w:szCs w:val="21"/>
          <w:highlight w:val="none"/>
          <w:lang w:val="en-GB"/>
        </w:rPr>
      </w:pPr>
      <w:r>
        <w:rPr>
          <w:rFonts w:ascii="宋体" w:hAnsi="宋体"/>
          <w:bCs/>
          <w:color w:val="auto"/>
          <w:kern w:val="0"/>
          <w:szCs w:val="21"/>
          <w:highlight w:val="none"/>
          <w:lang w:val="en-GB"/>
        </w:rPr>
        <w:t>2) 图片描述：经营场所、主要或关键产品介绍、生产场所及工艺流程等。</w:t>
      </w:r>
    </w:p>
    <w:p w14:paraId="3CEE3D8D">
      <w:pPr>
        <w:tabs>
          <w:tab w:val="left" w:pos="540"/>
        </w:tabs>
        <w:ind w:firstLine="420" w:firstLineChars="200"/>
        <w:rPr>
          <w:rFonts w:hint="eastAsia" w:ascii="宋体" w:hAnsi="宋体"/>
          <w:color w:val="auto"/>
          <w:szCs w:val="21"/>
          <w:highlight w:val="none"/>
        </w:rPr>
      </w:pPr>
      <w:r>
        <w:rPr>
          <w:rFonts w:ascii="宋体" w:hAnsi="宋体"/>
          <w:bCs/>
          <w:color w:val="auto"/>
          <w:szCs w:val="21"/>
          <w:highlight w:val="none"/>
          <w:lang w:val="en-GB"/>
        </w:rPr>
        <w:t xml:space="preserve">3) </w:t>
      </w:r>
      <w:r>
        <w:rPr>
          <w:rFonts w:ascii="宋体" w:hAnsi="宋体"/>
          <w:color w:val="auto"/>
          <w:szCs w:val="21"/>
          <w:highlight w:val="none"/>
          <w:lang w:val="en-GB"/>
        </w:rPr>
        <w:t>如报价人此表数据有虚假，一经查实，自行承担相关责任。</w:t>
      </w:r>
    </w:p>
    <w:p w14:paraId="5C84D10A">
      <w:pPr>
        <w:tabs>
          <w:tab w:val="left" w:pos="540"/>
        </w:tabs>
        <w:rPr>
          <w:rFonts w:hint="eastAsia" w:ascii="宋体" w:hAnsi="宋体"/>
          <w:color w:val="auto"/>
          <w:szCs w:val="21"/>
          <w:highlight w:val="none"/>
          <w:lang w:val="en-GB"/>
        </w:rPr>
      </w:pPr>
      <w:r>
        <w:rPr>
          <w:rFonts w:hint="eastAsia" w:ascii="宋体" w:hAnsi="宋体"/>
          <w:bCs/>
          <w:color w:val="auto"/>
          <w:szCs w:val="21"/>
          <w:highlight w:val="none"/>
          <w:lang w:val="en-GB"/>
        </w:rPr>
        <w:t xml:space="preserve">    </w:t>
      </w:r>
    </w:p>
    <w:p w14:paraId="2D28ACF5">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77308A7E">
      <w:pPr>
        <w:spacing w:after="120" w:line="360" w:lineRule="exact"/>
        <w:jc w:val="left"/>
        <w:rPr>
          <w:rFonts w:hint="eastAsia" w:ascii="宋体" w:hAnsi="宋体"/>
          <w:color w:val="auto"/>
          <w:spacing w:val="10"/>
          <w:kern w:val="0"/>
          <w:szCs w:val="21"/>
          <w:highlight w:val="none"/>
        </w:rPr>
      </w:pPr>
      <w:r>
        <w:rPr>
          <w:rFonts w:hint="eastAsia"/>
          <w:color w:val="auto"/>
          <w:szCs w:val="21"/>
          <w:highlight w:val="none"/>
        </w:rPr>
        <w:t>日期：   年   月   日</w:t>
      </w:r>
    </w:p>
    <w:p w14:paraId="400B403C">
      <w:pPr>
        <w:widowControl/>
        <w:jc w:val="left"/>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14:paraId="6CB7A0A3">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4.2</w:t>
      </w:r>
      <w:r>
        <w:rPr>
          <w:rFonts w:ascii="Times New Roman" w:hAnsi="Times New Roman"/>
          <w:b/>
          <w:bCs/>
          <w:color w:val="auto"/>
          <w:sz w:val="28"/>
          <w:szCs w:val="28"/>
          <w:highlight w:val="none"/>
        </w:rPr>
        <w:t xml:space="preserve"> </w:t>
      </w:r>
      <w:r>
        <w:rPr>
          <w:rFonts w:hint="eastAsia" w:ascii="Times New Roman" w:hAnsi="Times New Roman"/>
          <w:b/>
          <w:bCs/>
          <w:color w:val="auto"/>
          <w:sz w:val="28"/>
          <w:szCs w:val="28"/>
          <w:highlight w:val="none"/>
        </w:rPr>
        <w:t>商务条款响应表</w:t>
      </w:r>
    </w:p>
    <w:p w14:paraId="20BCF8C5">
      <w:pPr>
        <w:rPr>
          <w:color w:val="auto"/>
          <w:szCs w:val="21"/>
          <w:highlight w:val="none"/>
        </w:rPr>
      </w:pPr>
    </w:p>
    <w:p w14:paraId="2277D7C8">
      <w:pPr>
        <w:spacing w:line="360" w:lineRule="auto"/>
        <w:jc w:val="center"/>
        <w:rPr>
          <w:rFonts w:ascii="宋体"/>
          <w:b/>
          <w:bCs/>
          <w:color w:val="auto"/>
          <w:sz w:val="28"/>
          <w:highlight w:val="none"/>
        </w:rPr>
      </w:pPr>
      <w:r>
        <w:rPr>
          <w:rFonts w:hint="eastAsia" w:ascii="宋体"/>
          <w:b/>
          <w:bCs/>
          <w:color w:val="auto"/>
          <w:sz w:val="28"/>
          <w:highlight w:val="none"/>
        </w:rPr>
        <w:fldChar w:fldCharType="begin"/>
      </w:r>
      <w:r>
        <w:rPr>
          <w:rFonts w:hint="eastAsia" w:ascii="宋体"/>
          <w:b/>
          <w:bCs/>
          <w:color w:val="auto"/>
          <w:sz w:val="28"/>
          <w:highlight w:val="none"/>
        </w:rPr>
        <w:instrText xml:space="preserve"> DOCVARIABLE  商务条款响应表开始  \* MERGEFORMAT </w:instrText>
      </w:r>
      <w:r>
        <w:rPr>
          <w:rFonts w:hint="eastAsia" w:ascii="宋体"/>
          <w:b/>
          <w:bCs/>
          <w:color w:val="auto"/>
          <w:sz w:val="28"/>
          <w:highlight w:val="none"/>
        </w:rPr>
        <w:fldChar w:fldCharType="end"/>
      </w:r>
      <w:r>
        <w:rPr>
          <w:rFonts w:hint="eastAsia" w:ascii="宋体"/>
          <w:b/>
          <w:bCs/>
          <w:color w:val="auto"/>
          <w:sz w:val="28"/>
          <w:highlight w:val="none"/>
        </w:rPr>
        <w:fldChar w:fldCharType="begin"/>
      </w:r>
      <w:r>
        <w:rPr>
          <w:rFonts w:hint="eastAsia" w:ascii="宋体"/>
          <w:b/>
          <w:bCs/>
          <w:color w:val="auto"/>
          <w:sz w:val="28"/>
          <w:highlight w:val="none"/>
        </w:rPr>
        <w:instrText xml:space="preserve"> DOCVARIABLE  商务条款响应表开始  \* MERGEFORMAT </w:instrText>
      </w:r>
      <w:r>
        <w:rPr>
          <w:rFonts w:hint="eastAsia" w:ascii="宋体"/>
          <w:b/>
          <w:bCs/>
          <w:color w:val="auto"/>
          <w:sz w:val="28"/>
          <w:highlight w:val="none"/>
        </w:rPr>
        <w:fldChar w:fldCharType="end"/>
      </w:r>
      <w:r>
        <w:rPr>
          <w:rFonts w:hint="eastAsia" w:ascii="宋体"/>
          <w:b/>
          <w:bCs/>
          <w:color w:val="auto"/>
          <w:sz w:val="28"/>
          <w:highlight w:val="none"/>
        </w:rPr>
        <w:t>商务条款响应表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6043"/>
        <w:gridCol w:w="786"/>
        <w:gridCol w:w="2091"/>
      </w:tblGrid>
      <w:tr w14:paraId="6335A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368" w:type="pct"/>
            <w:vAlign w:val="center"/>
          </w:tcPr>
          <w:p w14:paraId="7C619F1D">
            <w:pPr>
              <w:jc w:val="center"/>
              <w:rPr>
                <w:bCs/>
                <w:color w:val="auto"/>
                <w:szCs w:val="21"/>
                <w:highlight w:val="none"/>
              </w:rPr>
            </w:pPr>
            <w:r>
              <w:rPr>
                <w:rFonts w:hint="eastAsia"/>
                <w:bCs/>
                <w:color w:val="auto"/>
                <w:szCs w:val="21"/>
                <w:highlight w:val="none"/>
              </w:rPr>
              <w:t>序号</w:t>
            </w:r>
          </w:p>
        </w:tc>
        <w:tc>
          <w:tcPr>
            <w:tcW w:w="3138" w:type="pct"/>
            <w:vAlign w:val="center"/>
          </w:tcPr>
          <w:p w14:paraId="332DFD04">
            <w:pPr>
              <w:jc w:val="center"/>
              <w:rPr>
                <w:bCs/>
                <w:color w:val="auto"/>
                <w:szCs w:val="21"/>
                <w:highlight w:val="none"/>
              </w:rPr>
            </w:pPr>
            <w:r>
              <w:rPr>
                <w:rFonts w:hint="eastAsia"/>
                <w:bCs/>
                <w:color w:val="auto"/>
                <w:szCs w:val="21"/>
                <w:highlight w:val="none"/>
              </w:rPr>
              <w:t>商务条款要求</w:t>
            </w:r>
          </w:p>
        </w:tc>
        <w:tc>
          <w:tcPr>
            <w:tcW w:w="408" w:type="pct"/>
            <w:vAlign w:val="center"/>
          </w:tcPr>
          <w:p w14:paraId="68932A96">
            <w:pPr>
              <w:jc w:val="center"/>
              <w:rPr>
                <w:bCs/>
                <w:color w:val="auto"/>
                <w:szCs w:val="21"/>
                <w:highlight w:val="none"/>
              </w:rPr>
            </w:pPr>
            <w:r>
              <w:rPr>
                <w:rFonts w:hint="eastAsia"/>
                <w:bCs/>
                <w:color w:val="auto"/>
                <w:szCs w:val="21"/>
                <w:highlight w:val="none"/>
              </w:rPr>
              <w:t>是否响应</w:t>
            </w:r>
          </w:p>
        </w:tc>
        <w:tc>
          <w:tcPr>
            <w:tcW w:w="1086" w:type="pct"/>
            <w:vAlign w:val="center"/>
          </w:tcPr>
          <w:p w14:paraId="195ABF64">
            <w:pPr>
              <w:jc w:val="center"/>
              <w:rPr>
                <w:bCs/>
                <w:color w:val="auto"/>
                <w:szCs w:val="21"/>
                <w:highlight w:val="none"/>
              </w:rPr>
            </w:pPr>
            <w:r>
              <w:rPr>
                <w:rFonts w:hint="eastAsia"/>
                <w:bCs/>
                <w:color w:val="auto"/>
                <w:szCs w:val="21"/>
                <w:highlight w:val="none"/>
              </w:rPr>
              <w:t>偏离说明</w:t>
            </w:r>
          </w:p>
        </w:tc>
      </w:tr>
      <w:tr w14:paraId="75E91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68" w:type="pct"/>
            <w:vAlign w:val="center"/>
          </w:tcPr>
          <w:p w14:paraId="5951679B">
            <w:pPr>
              <w:jc w:val="center"/>
              <w:rPr>
                <w:color w:val="auto"/>
                <w:szCs w:val="21"/>
                <w:highlight w:val="none"/>
              </w:rPr>
            </w:pPr>
            <w:r>
              <w:rPr>
                <w:rFonts w:hint="eastAsia" w:ascii="宋体" w:hAnsi="宋体"/>
                <w:color w:val="auto"/>
                <w:szCs w:val="21"/>
                <w:highlight w:val="none"/>
                <w:lang w:val="en-GB"/>
              </w:rPr>
              <w:t>1</w:t>
            </w:r>
          </w:p>
        </w:tc>
        <w:tc>
          <w:tcPr>
            <w:tcW w:w="3138" w:type="pct"/>
            <w:vAlign w:val="center"/>
          </w:tcPr>
          <w:p w14:paraId="41D57002">
            <w:pPr>
              <w:rPr>
                <w:i/>
                <w:color w:val="auto"/>
                <w:szCs w:val="21"/>
                <w:highlight w:val="none"/>
              </w:rPr>
            </w:pPr>
            <w:r>
              <w:rPr>
                <w:rFonts w:hint="eastAsia" w:ascii="宋体" w:hAnsi="宋体"/>
                <w:color w:val="auto"/>
                <w:szCs w:val="21"/>
                <w:highlight w:val="none"/>
                <w:lang w:val="en-GB"/>
              </w:rPr>
              <w:t>完全理解并接受合同条款要求</w:t>
            </w:r>
          </w:p>
        </w:tc>
        <w:tc>
          <w:tcPr>
            <w:tcW w:w="408" w:type="pct"/>
            <w:vAlign w:val="center"/>
          </w:tcPr>
          <w:p w14:paraId="12D2A7C2">
            <w:pPr>
              <w:jc w:val="center"/>
              <w:rPr>
                <w:rFonts w:ascii="Times New Roman" w:hAnsi="Times New Roman"/>
                <w:color w:val="auto"/>
                <w:szCs w:val="21"/>
                <w:highlight w:val="none"/>
              </w:rPr>
            </w:pPr>
          </w:p>
        </w:tc>
        <w:tc>
          <w:tcPr>
            <w:tcW w:w="1086" w:type="pct"/>
            <w:vAlign w:val="center"/>
          </w:tcPr>
          <w:p w14:paraId="455E7D18">
            <w:pPr>
              <w:jc w:val="center"/>
              <w:rPr>
                <w:color w:val="auto"/>
                <w:szCs w:val="21"/>
                <w:highlight w:val="none"/>
              </w:rPr>
            </w:pPr>
          </w:p>
        </w:tc>
      </w:tr>
      <w:tr w14:paraId="5CA05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68" w:type="pct"/>
            <w:vAlign w:val="center"/>
          </w:tcPr>
          <w:p w14:paraId="7315039B">
            <w:pPr>
              <w:jc w:val="center"/>
              <w:rPr>
                <w:color w:val="auto"/>
                <w:szCs w:val="21"/>
                <w:highlight w:val="none"/>
              </w:rPr>
            </w:pPr>
            <w:r>
              <w:rPr>
                <w:rFonts w:ascii="宋体" w:hAnsi="宋体"/>
                <w:color w:val="auto"/>
                <w:szCs w:val="21"/>
                <w:highlight w:val="none"/>
                <w:lang w:val="en-GB"/>
              </w:rPr>
              <w:t>2</w:t>
            </w:r>
          </w:p>
        </w:tc>
        <w:tc>
          <w:tcPr>
            <w:tcW w:w="3138" w:type="pct"/>
            <w:vAlign w:val="center"/>
          </w:tcPr>
          <w:p w14:paraId="34EF53C7">
            <w:pPr>
              <w:rPr>
                <w:i/>
                <w:color w:val="auto"/>
                <w:szCs w:val="21"/>
                <w:highlight w:val="none"/>
              </w:rPr>
            </w:pPr>
            <w:r>
              <w:rPr>
                <w:rFonts w:hint="eastAsia" w:ascii="宋体" w:hAnsi="宋体"/>
                <w:color w:val="auto"/>
                <w:szCs w:val="21"/>
                <w:highlight w:val="none"/>
                <w:lang w:val="en-GB"/>
              </w:rPr>
              <w:t>报价内容均涵盖报价要求之一切费用和伴随</w:t>
            </w:r>
          </w:p>
        </w:tc>
        <w:tc>
          <w:tcPr>
            <w:tcW w:w="408" w:type="pct"/>
            <w:vAlign w:val="center"/>
          </w:tcPr>
          <w:p w14:paraId="7E2DE2D1">
            <w:pPr>
              <w:jc w:val="center"/>
              <w:rPr>
                <w:rFonts w:ascii="Times New Roman" w:hAnsi="Times New Roman"/>
                <w:color w:val="auto"/>
                <w:szCs w:val="21"/>
                <w:highlight w:val="none"/>
              </w:rPr>
            </w:pPr>
          </w:p>
        </w:tc>
        <w:tc>
          <w:tcPr>
            <w:tcW w:w="1086" w:type="pct"/>
            <w:vAlign w:val="center"/>
          </w:tcPr>
          <w:p w14:paraId="475FF1B5">
            <w:pPr>
              <w:jc w:val="center"/>
              <w:rPr>
                <w:color w:val="auto"/>
                <w:szCs w:val="21"/>
                <w:highlight w:val="none"/>
              </w:rPr>
            </w:pPr>
          </w:p>
        </w:tc>
      </w:tr>
      <w:tr w14:paraId="6BFF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368" w:type="pct"/>
            <w:vAlign w:val="center"/>
          </w:tcPr>
          <w:p w14:paraId="03723F47">
            <w:pPr>
              <w:jc w:val="center"/>
              <w:rPr>
                <w:color w:val="auto"/>
                <w:szCs w:val="21"/>
                <w:highlight w:val="none"/>
              </w:rPr>
            </w:pPr>
            <w:r>
              <w:rPr>
                <w:rFonts w:ascii="宋体" w:hAnsi="宋体"/>
                <w:color w:val="auto"/>
                <w:szCs w:val="21"/>
                <w:highlight w:val="none"/>
                <w:lang w:val="en-GB"/>
              </w:rPr>
              <w:t>3</w:t>
            </w:r>
          </w:p>
        </w:tc>
        <w:tc>
          <w:tcPr>
            <w:tcW w:w="3138" w:type="pct"/>
            <w:vAlign w:val="center"/>
          </w:tcPr>
          <w:p w14:paraId="36E13727">
            <w:pPr>
              <w:rPr>
                <w:i/>
                <w:color w:val="auto"/>
                <w:szCs w:val="21"/>
                <w:highlight w:val="none"/>
              </w:rPr>
            </w:pPr>
            <w:r>
              <w:rPr>
                <w:rFonts w:hint="eastAsia" w:ascii="宋体" w:hAnsi="宋体"/>
                <w:color w:val="auto"/>
                <w:szCs w:val="21"/>
                <w:highlight w:val="none"/>
              </w:rPr>
              <w:t>所提供的报价按招标文件要求计算且未超过采购预算</w:t>
            </w:r>
          </w:p>
        </w:tc>
        <w:tc>
          <w:tcPr>
            <w:tcW w:w="408" w:type="pct"/>
            <w:vAlign w:val="center"/>
          </w:tcPr>
          <w:p w14:paraId="0239B569">
            <w:pPr>
              <w:jc w:val="center"/>
              <w:rPr>
                <w:color w:val="auto"/>
                <w:szCs w:val="21"/>
                <w:highlight w:val="none"/>
              </w:rPr>
            </w:pPr>
          </w:p>
        </w:tc>
        <w:tc>
          <w:tcPr>
            <w:tcW w:w="1086" w:type="pct"/>
            <w:vAlign w:val="center"/>
          </w:tcPr>
          <w:p w14:paraId="7F97195A">
            <w:pPr>
              <w:ind w:right="-35"/>
              <w:jc w:val="center"/>
              <w:rPr>
                <w:color w:val="auto"/>
                <w:szCs w:val="21"/>
                <w:highlight w:val="none"/>
              </w:rPr>
            </w:pPr>
          </w:p>
        </w:tc>
      </w:tr>
      <w:tr w14:paraId="66782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368" w:type="pct"/>
            <w:vAlign w:val="center"/>
          </w:tcPr>
          <w:p w14:paraId="4A08D8A3">
            <w:pPr>
              <w:jc w:val="center"/>
              <w:rPr>
                <w:color w:val="auto"/>
                <w:szCs w:val="21"/>
                <w:highlight w:val="none"/>
              </w:rPr>
            </w:pPr>
            <w:r>
              <w:rPr>
                <w:rFonts w:hint="eastAsia" w:ascii="宋体" w:hAnsi="宋体"/>
                <w:color w:val="auto"/>
                <w:szCs w:val="21"/>
                <w:highlight w:val="none"/>
              </w:rPr>
              <w:t>4</w:t>
            </w:r>
          </w:p>
        </w:tc>
        <w:tc>
          <w:tcPr>
            <w:tcW w:w="3138" w:type="pct"/>
            <w:vAlign w:val="center"/>
          </w:tcPr>
          <w:p w14:paraId="139D8CCA">
            <w:pPr>
              <w:rPr>
                <w:i/>
                <w:color w:val="auto"/>
                <w:szCs w:val="21"/>
                <w:highlight w:val="none"/>
              </w:rPr>
            </w:pPr>
            <w:r>
              <w:rPr>
                <w:rFonts w:hint="eastAsia" w:ascii="宋体" w:hAnsi="宋体"/>
                <w:color w:val="auto"/>
                <w:szCs w:val="21"/>
                <w:highlight w:val="none"/>
                <w:lang w:val="en-GB"/>
              </w:rPr>
              <w:t>同意采购方以任何形式对我方投标文件内容的真实性和有效性进行审查、验证</w:t>
            </w:r>
          </w:p>
        </w:tc>
        <w:tc>
          <w:tcPr>
            <w:tcW w:w="408" w:type="pct"/>
            <w:vAlign w:val="center"/>
          </w:tcPr>
          <w:p w14:paraId="6963DD78">
            <w:pPr>
              <w:jc w:val="center"/>
              <w:rPr>
                <w:color w:val="auto"/>
                <w:szCs w:val="21"/>
                <w:highlight w:val="none"/>
              </w:rPr>
            </w:pPr>
          </w:p>
        </w:tc>
        <w:tc>
          <w:tcPr>
            <w:tcW w:w="1086" w:type="pct"/>
            <w:vAlign w:val="center"/>
          </w:tcPr>
          <w:p w14:paraId="61F811F4">
            <w:pPr>
              <w:ind w:right="-35"/>
              <w:jc w:val="center"/>
              <w:rPr>
                <w:color w:val="auto"/>
                <w:szCs w:val="21"/>
                <w:highlight w:val="none"/>
              </w:rPr>
            </w:pPr>
          </w:p>
        </w:tc>
      </w:tr>
      <w:tr w14:paraId="5568F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68" w:type="pct"/>
            <w:vAlign w:val="center"/>
          </w:tcPr>
          <w:p w14:paraId="492ABEA9">
            <w:pPr>
              <w:jc w:val="center"/>
              <w:rPr>
                <w:color w:val="auto"/>
                <w:szCs w:val="21"/>
                <w:highlight w:val="none"/>
              </w:rPr>
            </w:pPr>
            <w:r>
              <w:rPr>
                <w:rFonts w:ascii="宋体" w:hAnsi="宋体"/>
                <w:color w:val="auto"/>
                <w:szCs w:val="21"/>
                <w:highlight w:val="none"/>
              </w:rPr>
              <w:t>5</w:t>
            </w:r>
          </w:p>
        </w:tc>
        <w:tc>
          <w:tcPr>
            <w:tcW w:w="3138" w:type="pct"/>
            <w:vAlign w:val="center"/>
          </w:tcPr>
          <w:p w14:paraId="3531A165">
            <w:pPr>
              <w:rPr>
                <w:i/>
                <w:color w:val="auto"/>
                <w:szCs w:val="21"/>
                <w:highlight w:val="none"/>
              </w:rPr>
            </w:pPr>
            <w:r>
              <w:rPr>
                <w:rFonts w:hint="eastAsia" w:ascii="宋体" w:hAnsi="宋体"/>
                <w:color w:val="auto"/>
                <w:szCs w:val="21"/>
                <w:highlight w:val="none"/>
              </w:rPr>
              <w:t>交货期：</w:t>
            </w:r>
            <w:r>
              <w:rPr>
                <w:rFonts w:hint="eastAsia" w:ascii="宋体" w:hAnsi="宋体"/>
                <w:bCs/>
                <w:color w:val="auto"/>
                <w:szCs w:val="21"/>
                <w:highlight w:val="none"/>
              </w:rPr>
              <w:t>本项目总工期为</w:t>
            </w:r>
            <w:r>
              <w:rPr>
                <w:rFonts w:hint="eastAsia" w:ascii="宋体" w:hAnsi="宋体"/>
                <w:bCs/>
                <w:color w:val="auto"/>
                <w:szCs w:val="21"/>
                <w:highlight w:val="none"/>
                <w:lang w:val="en-US" w:eastAsia="zh-CN"/>
              </w:rPr>
              <w:t>30</w:t>
            </w:r>
            <w:r>
              <w:rPr>
                <w:rFonts w:hint="eastAsia" w:ascii="宋体" w:hAnsi="宋体"/>
                <w:bCs/>
                <w:color w:val="auto"/>
                <w:szCs w:val="21"/>
                <w:highlight w:val="none"/>
              </w:rPr>
              <w:t>天，从合同签订之日计算。</w:t>
            </w:r>
          </w:p>
        </w:tc>
        <w:tc>
          <w:tcPr>
            <w:tcW w:w="408" w:type="pct"/>
            <w:vAlign w:val="center"/>
          </w:tcPr>
          <w:p w14:paraId="2AAE3313">
            <w:pPr>
              <w:jc w:val="center"/>
              <w:rPr>
                <w:color w:val="auto"/>
                <w:szCs w:val="21"/>
                <w:highlight w:val="none"/>
              </w:rPr>
            </w:pPr>
          </w:p>
        </w:tc>
        <w:tc>
          <w:tcPr>
            <w:tcW w:w="1086" w:type="pct"/>
            <w:vAlign w:val="center"/>
          </w:tcPr>
          <w:p w14:paraId="2A92B189">
            <w:pPr>
              <w:jc w:val="center"/>
              <w:rPr>
                <w:rFonts w:ascii="Times New Roman" w:hAnsi="Times New Roman"/>
                <w:color w:val="auto"/>
                <w:szCs w:val="21"/>
                <w:highlight w:val="none"/>
              </w:rPr>
            </w:pPr>
          </w:p>
        </w:tc>
      </w:tr>
      <w:tr w14:paraId="0D066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68" w:type="pct"/>
            <w:vAlign w:val="center"/>
          </w:tcPr>
          <w:p w14:paraId="55717427">
            <w:pPr>
              <w:jc w:val="center"/>
              <w:rPr>
                <w:rFonts w:hint="eastAsia" w:ascii="宋体" w:hAnsi="宋体"/>
                <w:color w:val="auto"/>
                <w:szCs w:val="21"/>
                <w:highlight w:val="none"/>
              </w:rPr>
            </w:pPr>
            <w:r>
              <w:rPr>
                <w:rFonts w:hint="eastAsia" w:ascii="宋体" w:hAnsi="宋体"/>
                <w:color w:val="auto"/>
                <w:szCs w:val="21"/>
                <w:highlight w:val="none"/>
              </w:rPr>
              <w:t>6</w:t>
            </w:r>
          </w:p>
        </w:tc>
        <w:tc>
          <w:tcPr>
            <w:tcW w:w="3138" w:type="pct"/>
            <w:vAlign w:val="center"/>
          </w:tcPr>
          <w:p w14:paraId="3BE1E0B0">
            <w:pPr>
              <w:rPr>
                <w:rFonts w:hint="eastAsia" w:ascii="宋体" w:hAnsi="宋体"/>
                <w:color w:val="auto"/>
                <w:szCs w:val="21"/>
                <w:highlight w:val="none"/>
              </w:rPr>
            </w:pPr>
            <w:r>
              <w:rPr>
                <w:rFonts w:hint="eastAsia" w:ascii="宋体" w:hAnsi="宋体"/>
                <w:color w:val="auto"/>
                <w:kern w:val="0"/>
                <w:szCs w:val="21"/>
                <w:highlight w:val="none"/>
              </w:rPr>
              <w:t>质保期：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val="en-US" w:eastAsia="zh-CN"/>
              </w:rPr>
              <w:t>1</w:t>
            </w:r>
            <w:r>
              <w:rPr>
                <w:rFonts w:hint="eastAsia" w:ascii="宋体" w:hAnsi="宋体"/>
                <w:color w:val="auto"/>
                <w:kern w:val="0"/>
                <w:szCs w:val="21"/>
                <w:highlight w:val="none"/>
                <w:u w:val="single"/>
              </w:rPr>
              <w:t xml:space="preserve">年 </w:t>
            </w:r>
          </w:p>
        </w:tc>
        <w:tc>
          <w:tcPr>
            <w:tcW w:w="408" w:type="pct"/>
            <w:vAlign w:val="center"/>
          </w:tcPr>
          <w:p w14:paraId="0F369820">
            <w:pPr>
              <w:jc w:val="center"/>
              <w:rPr>
                <w:color w:val="auto"/>
                <w:szCs w:val="21"/>
                <w:highlight w:val="none"/>
              </w:rPr>
            </w:pPr>
          </w:p>
        </w:tc>
        <w:tc>
          <w:tcPr>
            <w:tcW w:w="1086" w:type="pct"/>
            <w:vAlign w:val="center"/>
          </w:tcPr>
          <w:p w14:paraId="378BE14D">
            <w:pPr>
              <w:jc w:val="center"/>
              <w:rPr>
                <w:rFonts w:ascii="Times New Roman" w:hAnsi="Times New Roman"/>
                <w:color w:val="auto"/>
                <w:szCs w:val="21"/>
                <w:highlight w:val="none"/>
              </w:rPr>
            </w:pPr>
          </w:p>
        </w:tc>
      </w:tr>
      <w:tr w14:paraId="78447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368" w:type="pct"/>
            <w:vAlign w:val="center"/>
          </w:tcPr>
          <w:p w14:paraId="1134BA4A">
            <w:pPr>
              <w:jc w:val="center"/>
              <w:rPr>
                <w:color w:val="auto"/>
                <w:szCs w:val="21"/>
                <w:highlight w:val="none"/>
              </w:rPr>
            </w:pPr>
            <w:r>
              <w:rPr>
                <w:rFonts w:hint="eastAsia"/>
                <w:color w:val="auto"/>
                <w:szCs w:val="21"/>
                <w:highlight w:val="none"/>
              </w:rPr>
              <w:t>...</w:t>
            </w:r>
          </w:p>
        </w:tc>
        <w:tc>
          <w:tcPr>
            <w:tcW w:w="3138" w:type="pct"/>
            <w:vAlign w:val="center"/>
          </w:tcPr>
          <w:p w14:paraId="6B840701">
            <w:pPr>
              <w:rPr>
                <w:i/>
                <w:color w:val="auto"/>
                <w:szCs w:val="21"/>
                <w:highlight w:val="none"/>
              </w:rPr>
            </w:pPr>
            <w:r>
              <w:rPr>
                <w:rFonts w:hint="eastAsia"/>
                <w:color w:val="auto"/>
                <w:szCs w:val="21"/>
                <w:highlight w:val="none"/>
              </w:rPr>
              <w:t>其它商务条款偏离说明：</w:t>
            </w:r>
          </w:p>
        </w:tc>
        <w:tc>
          <w:tcPr>
            <w:tcW w:w="408" w:type="pct"/>
            <w:vAlign w:val="center"/>
          </w:tcPr>
          <w:p w14:paraId="0EC038C2">
            <w:pPr>
              <w:jc w:val="center"/>
              <w:rPr>
                <w:color w:val="auto"/>
                <w:szCs w:val="21"/>
                <w:highlight w:val="none"/>
              </w:rPr>
            </w:pPr>
          </w:p>
        </w:tc>
        <w:tc>
          <w:tcPr>
            <w:tcW w:w="1086" w:type="pct"/>
            <w:vAlign w:val="center"/>
          </w:tcPr>
          <w:p w14:paraId="21E0EDC2">
            <w:pPr>
              <w:jc w:val="center"/>
              <w:rPr>
                <w:color w:val="auto"/>
                <w:szCs w:val="21"/>
                <w:highlight w:val="none"/>
              </w:rPr>
            </w:pPr>
          </w:p>
        </w:tc>
      </w:tr>
    </w:tbl>
    <w:p w14:paraId="282DA12B">
      <w:pPr>
        <w:ind w:left="630" w:hanging="630" w:hangingChars="300"/>
        <w:rPr>
          <w:color w:val="auto"/>
          <w:szCs w:val="21"/>
          <w:highlight w:val="none"/>
          <w:lang w:val="en-GB"/>
        </w:rPr>
      </w:pPr>
    </w:p>
    <w:p w14:paraId="3B7C2BE9">
      <w:pPr>
        <w:spacing w:line="360" w:lineRule="auto"/>
        <w:ind w:left="728" w:hanging="728"/>
        <w:rPr>
          <w:rFonts w:hint="eastAsia" w:ascii="宋体" w:hAnsi="宋体"/>
          <w:color w:val="auto"/>
          <w:szCs w:val="21"/>
          <w:highlight w:val="none"/>
          <w:lang w:val="en-GB"/>
        </w:rPr>
      </w:pPr>
      <w:r>
        <w:rPr>
          <w:rFonts w:hint="eastAsia" w:ascii="宋体" w:hAnsi="宋体"/>
          <w:color w:val="auto"/>
          <w:szCs w:val="21"/>
          <w:highlight w:val="none"/>
          <w:lang w:val="en-GB"/>
        </w:rPr>
        <w:t>注：1.</w:t>
      </w:r>
      <w:r>
        <w:rPr>
          <w:rFonts w:ascii="宋体" w:hAnsi="宋体"/>
          <w:color w:val="auto"/>
          <w:szCs w:val="21"/>
          <w:highlight w:val="none"/>
          <w:lang w:val="en-GB"/>
        </w:rPr>
        <w:t xml:space="preserve"> </w:t>
      </w:r>
      <w:r>
        <w:rPr>
          <w:rFonts w:hint="eastAsia" w:ascii="宋体" w:hAnsi="宋体"/>
          <w:color w:val="auto"/>
          <w:szCs w:val="21"/>
          <w:highlight w:val="none"/>
        </w:rPr>
        <w:t>对</w:t>
      </w:r>
      <w:r>
        <w:rPr>
          <w:rFonts w:hint="eastAsia" w:ascii="宋体" w:hAnsi="宋体"/>
          <w:color w:val="auto"/>
          <w:szCs w:val="21"/>
          <w:highlight w:val="none"/>
          <w:lang w:val="en-GB"/>
        </w:rPr>
        <w:t>于上述要求，如投标人完全响应，则请在“是否响应”栏内打“√”，对打“×”视为偏离，请在“偏离说明”栏内扼要说明偏离情况。</w:t>
      </w:r>
      <w:r>
        <w:rPr>
          <w:rFonts w:hint="eastAsia"/>
          <w:b/>
          <w:color w:val="auto"/>
          <w:szCs w:val="21"/>
          <w:highlight w:val="none"/>
        </w:rPr>
        <w:t>对没有列出或者空白，视为没有偏差。</w:t>
      </w:r>
    </w:p>
    <w:p w14:paraId="2C0713CC">
      <w:pPr>
        <w:spacing w:line="360" w:lineRule="auto"/>
        <w:ind w:firstLine="420"/>
        <w:rPr>
          <w:rFonts w:hint="eastAsia" w:ascii="宋体" w:hAnsi="宋体"/>
          <w:color w:val="auto"/>
          <w:szCs w:val="21"/>
          <w:highlight w:val="none"/>
          <w:lang w:val="en-GB"/>
        </w:rPr>
      </w:pPr>
      <w:r>
        <w:rPr>
          <w:rFonts w:hint="eastAsia" w:ascii="宋体" w:hAnsi="宋体"/>
          <w:color w:val="auto"/>
          <w:szCs w:val="21"/>
          <w:highlight w:val="none"/>
          <w:lang w:val="en-GB"/>
        </w:rPr>
        <w:t>2.</w:t>
      </w:r>
      <w:r>
        <w:rPr>
          <w:rFonts w:ascii="宋体" w:hAnsi="宋体"/>
          <w:color w:val="auto"/>
          <w:szCs w:val="21"/>
          <w:highlight w:val="none"/>
          <w:lang w:val="en-GB"/>
        </w:rPr>
        <w:t xml:space="preserve"> </w:t>
      </w:r>
      <w:r>
        <w:rPr>
          <w:rFonts w:hint="eastAsia" w:ascii="宋体" w:hAnsi="宋体"/>
          <w:color w:val="auto"/>
          <w:szCs w:val="21"/>
          <w:highlight w:val="none"/>
          <w:lang w:val="en-GB"/>
        </w:rPr>
        <w:t>此表内容必须与实施方案中所介绍的内容一致。</w:t>
      </w:r>
    </w:p>
    <w:p w14:paraId="40D282F7">
      <w:pPr>
        <w:spacing w:line="360" w:lineRule="auto"/>
        <w:ind w:left="630" w:hanging="630" w:hangingChars="300"/>
        <w:rPr>
          <w:color w:val="auto"/>
          <w:szCs w:val="21"/>
          <w:highlight w:val="none"/>
          <w:lang w:val="en-GB"/>
        </w:rPr>
      </w:pPr>
    </w:p>
    <w:p w14:paraId="73E54C32">
      <w:pPr>
        <w:spacing w:line="360" w:lineRule="auto"/>
        <w:ind w:left="630" w:hanging="630" w:hangingChars="300"/>
        <w:rPr>
          <w:color w:val="auto"/>
          <w:szCs w:val="21"/>
          <w:highlight w:val="none"/>
          <w:lang w:val="en-GB"/>
        </w:rPr>
      </w:pPr>
    </w:p>
    <w:p w14:paraId="71494991">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3EA47FA3">
      <w:pPr>
        <w:spacing w:after="120" w:line="360" w:lineRule="exact"/>
        <w:jc w:val="left"/>
        <w:rPr>
          <w:color w:val="auto"/>
          <w:sz w:val="16"/>
          <w:szCs w:val="21"/>
          <w:highlight w:val="none"/>
        </w:rPr>
      </w:pPr>
      <w:r>
        <w:rPr>
          <w:rFonts w:hint="eastAsia"/>
          <w:color w:val="auto"/>
          <w:szCs w:val="21"/>
          <w:highlight w:val="none"/>
        </w:rPr>
        <w:t>日期：   年   月   日</w:t>
      </w:r>
    </w:p>
    <w:p w14:paraId="563AD8E0">
      <w:pPr>
        <w:widowControl/>
        <w:jc w:val="left"/>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14:paraId="668E76C9">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4.3 企业管理体系认证</w:t>
      </w:r>
    </w:p>
    <w:p w14:paraId="4FB0382A">
      <w:pPr>
        <w:snapToGrid w:val="0"/>
        <w:spacing w:line="360" w:lineRule="auto"/>
        <w:rPr>
          <w:rFonts w:hint="eastAsia" w:ascii="宋体" w:hAnsi="宋体"/>
          <w:b/>
          <w:color w:val="auto"/>
          <w:szCs w:val="21"/>
          <w:highlight w:val="none"/>
        </w:rPr>
      </w:pPr>
    </w:p>
    <w:p w14:paraId="08088ACC">
      <w:pPr>
        <w:widowControl/>
        <w:jc w:val="left"/>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14:paraId="4FF263C6">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4.4 投标人同类项目的业绩介绍</w:t>
      </w:r>
    </w:p>
    <w:p w14:paraId="359B32C8">
      <w:pPr>
        <w:spacing w:line="360" w:lineRule="auto"/>
        <w:rPr>
          <w:rFonts w:hint="eastAsia" w:ascii="宋体" w:hAnsi="宋体"/>
          <w:color w:val="auto"/>
          <w:szCs w:val="21"/>
          <w:highlight w:val="none"/>
        </w:rPr>
      </w:pPr>
      <w:r>
        <w:rPr>
          <w:rFonts w:hint="eastAsia" w:ascii="宋体" w:hAnsi="宋体"/>
          <w:color w:val="auto"/>
          <w:szCs w:val="21"/>
          <w:highlight w:val="none"/>
        </w:rPr>
        <w:t>（提供的业绩年份按《投标人须知前附表》的要求）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17"/>
        <w:gridCol w:w="1635"/>
        <w:gridCol w:w="1637"/>
        <w:gridCol w:w="1637"/>
        <w:gridCol w:w="1635"/>
        <w:gridCol w:w="1637"/>
      </w:tblGrid>
      <w:tr w14:paraId="2BD94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767" w:hRule="atLeast"/>
        </w:trPr>
        <w:tc>
          <w:tcPr>
            <w:tcW w:w="917" w:type="dxa"/>
            <w:shd w:val="clear" w:color="auto" w:fill="FFFFFF"/>
            <w:tcMar>
              <w:top w:w="0" w:type="dxa"/>
              <w:left w:w="108" w:type="dxa"/>
              <w:bottom w:w="0" w:type="dxa"/>
              <w:right w:w="108" w:type="dxa"/>
            </w:tcMar>
            <w:vAlign w:val="center"/>
          </w:tcPr>
          <w:p w14:paraId="1CDC1EB3">
            <w:pPr>
              <w:widowControl/>
              <w:snapToGrid w:val="0"/>
              <w:spacing w:line="300" w:lineRule="auto"/>
              <w:jc w:val="left"/>
              <w:rPr>
                <w:rFonts w:hint="eastAsia" w:ascii="宋体" w:hAnsi="宋体" w:cs="宋体"/>
                <w:color w:val="auto"/>
                <w:sz w:val="24"/>
                <w:szCs w:val="24"/>
                <w:highlight w:val="none"/>
              </w:rPr>
            </w:pPr>
            <w:bookmarkStart w:id="42" w:name="_Hlt10548694"/>
            <w:r>
              <w:rPr>
                <w:rFonts w:hint="eastAsia" w:ascii="宋体" w:hAnsi="宋体" w:cs="宋体"/>
                <w:color w:val="auto"/>
                <w:szCs w:val="21"/>
                <w:highlight w:val="none"/>
              </w:rPr>
              <w:t>序号</w:t>
            </w:r>
          </w:p>
        </w:tc>
        <w:tc>
          <w:tcPr>
            <w:tcW w:w="1635" w:type="dxa"/>
            <w:shd w:val="clear" w:color="auto" w:fill="FFFFFF"/>
            <w:tcMar>
              <w:top w:w="0" w:type="dxa"/>
              <w:left w:w="108" w:type="dxa"/>
              <w:bottom w:w="0" w:type="dxa"/>
              <w:right w:w="108" w:type="dxa"/>
            </w:tcMar>
            <w:vAlign w:val="center"/>
          </w:tcPr>
          <w:p w14:paraId="606F818C">
            <w:pPr>
              <w:widowControl/>
              <w:snapToGrid w:val="0"/>
              <w:spacing w:line="300" w:lineRule="auto"/>
              <w:jc w:val="center"/>
              <w:rPr>
                <w:rFonts w:hint="eastAsia" w:ascii="宋体" w:hAnsi="宋体" w:cs="宋体"/>
                <w:color w:val="auto"/>
                <w:szCs w:val="21"/>
                <w:highlight w:val="none"/>
              </w:rPr>
            </w:pPr>
            <w:r>
              <w:rPr>
                <w:rFonts w:hint="eastAsia" w:ascii="宋体" w:hAnsi="宋体" w:cs="宋体"/>
                <w:color w:val="auto"/>
                <w:szCs w:val="21"/>
                <w:highlight w:val="none"/>
              </w:rPr>
              <w:t>合同签署</w:t>
            </w:r>
          </w:p>
          <w:p w14:paraId="35FEAFDF">
            <w:pPr>
              <w:widowControl/>
              <w:snapToGrid w:val="0"/>
              <w:spacing w:line="300" w:lineRule="auto"/>
              <w:jc w:val="center"/>
              <w:rPr>
                <w:rFonts w:hint="eastAsia" w:ascii="宋体" w:hAnsi="宋体" w:cs="宋体"/>
                <w:color w:val="auto"/>
                <w:sz w:val="24"/>
                <w:szCs w:val="24"/>
                <w:highlight w:val="none"/>
              </w:rPr>
            </w:pPr>
            <w:r>
              <w:rPr>
                <w:rFonts w:hint="eastAsia" w:ascii="宋体" w:hAnsi="宋体" w:cs="宋体"/>
                <w:color w:val="auto"/>
                <w:szCs w:val="21"/>
                <w:highlight w:val="none"/>
              </w:rPr>
              <w:t>时间</w:t>
            </w:r>
          </w:p>
        </w:tc>
        <w:tc>
          <w:tcPr>
            <w:tcW w:w="1637" w:type="dxa"/>
            <w:shd w:val="clear" w:color="auto" w:fill="FFFFFF"/>
            <w:tcMar>
              <w:top w:w="0" w:type="dxa"/>
              <w:left w:w="108" w:type="dxa"/>
              <w:bottom w:w="0" w:type="dxa"/>
              <w:right w:w="108" w:type="dxa"/>
            </w:tcMar>
            <w:vAlign w:val="center"/>
          </w:tcPr>
          <w:p w14:paraId="3EFC5FA8">
            <w:pPr>
              <w:widowControl/>
              <w:snapToGrid w:val="0"/>
              <w:spacing w:line="300" w:lineRule="auto"/>
              <w:jc w:val="center"/>
              <w:rPr>
                <w:rFonts w:hint="eastAsia" w:ascii="宋体" w:hAnsi="宋体" w:cs="宋体"/>
                <w:color w:val="auto"/>
                <w:sz w:val="24"/>
                <w:szCs w:val="24"/>
                <w:highlight w:val="none"/>
              </w:rPr>
            </w:pPr>
            <w:r>
              <w:rPr>
                <w:rFonts w:hint="eastAsia" w:ascii="宋体" w:hAnsi="宋体" w:cs="宋体"/>
                <w:color w:val="auto"/>
                <w:szCs w:val="21"/>
                <w:highlight w:val="none"/>
              </w:rPr>
              <w:t>合同名称</w:t>
            </w:r>
          </w:p>
        </w:tc>
        <w:tc>
          <w:tcPr>
            <w:tcW w:w="1637" w:type="dxa"/>
            <w:shd w:val="clear" w:color="auto" w:fill="FFFFFF"/>
            <w:tcMar>
              <w:top w:w="0" w:type="dxa"/>
              <w:left w:w="108" w:type="dxa"/>
              <w:bottom w:w="0" w:type="dxa"/>
              <w:right w:w="108" w:type="dxa"/>
            </w:tcMar>
            <w:vAlign w:val="center"/>
          </w:tcPr>
          <w:p w14:paraId="1BE19BCB">
            <w:pPr>
              <w:widowControl/>
              <w:snapToGrid w:val="0"/>
              <w:spacing w:line="300" w:lineRule="auto"/>
              <w:jc w:val="center"/>
              <w:rPr>
                <w:rFonts w:hint="eastAsia" w:ascii="宋体" w:hAnsi="宋体" w:cs="宋体"/>
                <w:color w:val="auto"/>
                <w:szCs w:val="21"/>
                <w:highlight w:val="none"/>
              </w:rPr>
            </w:pPr>
            <w:r>
              <w:rPr>
                <w:rFonts w:hint="eastAsia" w:ascii="宋体" w:hAnsi="宋体" w:cs="宋体"/>
                <w:color w:val="auto"/>
                <w:szCs w:val="21"/>
                <w:highlight w:val="none"/>
              </w:rPr>
              <w:t>客户名称</w:t>
            </w:r>
          </w:p>
        </w:tc>
        <w:tc>
          <w:tcPr>
            <w:tcW w:w="1635" w:type="dxa"/>
            <w:shd w:val="clear" w:color="auto" w:fill="FFFFFF"/>
            <w:tcMar>
              <w:top w:w="0" w:type="dxa"/>
              <w:left w:w="108" w:type="dxa"/>
              <w:bottom w:w="0" w:type="dxa"/>
              <w:right w:w="108" w:type="dxa"/>
            </w:tcMar>
            <w:vAlign w:val="center"/>
          </w:tcPr>
          <w:p w14:paraId="76C583EE">
            <w:pPr>
              <w:widowControl/>
              <w:snapToGrid w:val="0"/>
              <w:spacing w:line="300" w:lineRule="auto"/>
              <w:jc w:val="center"/>
              <w:rPr>
                <w:rFonts w:hint="eastAsia" w:ascii="宋体" w:hAnsi="宋体" w:cs="宋体"/>
                <w:color w:val="auto"/>
                <w:szCs w:val="21"/>
                <w:highlight w:val="none"/>
              </w:rPr>
            </w:pPr>
            <w:r>
              <w:rPr>
                <w:rFonts w:hint="eastAsia" w:ascii="宋体" w:hAnsi="宋体" w:cs="宋体"/>
                <w:color w:val="auto"/>
                <w:szCs w:val="21"/>
                <w:highlight w:val="none"/>
              </w:rPr>
              <w:t>合同金额（元）</w:t>
            </w:r>
          </w:p>
        </w:tc>
        <w:tc>
          <w:tcPr>
            <w:tcW w:w="1637" w:type="dxa"/>
            <w:shd w:val="clear" w:color="auto" w:fill="FFFFFF"/>
            <w:tcMar>
              <w:top w:w="0" w:type="dxa"/>
              <w:left w:w="108" w:type="dxa"/>
              <w:bottom w:w="0" w:type="dxa"/>
              <w:right w:w="108" w:type="dxa"/>
            </w:tcMar>
            <w:vAlign w:val="center"/>
          </w:tcPr>
          <w:p w14:paraId="7124DC45">
            <w:pPr>
              <w:widowControl/>
              <w:snapToGrid w:val="0"/>
              <w:spacing w:line="300" w:lineRule="auto"/>
              <w:jc w:val="left"/>
              <w:rPr>
                <w:rFonts w:hint="eastAsia" w:ascii="宋体" w:hAnsi="宋体" w:cs="宋体"/>
                <w:color w:val="auto"/>
                <w:szCs w:val="21"/>
                <w:highlight w:val="none"/>
              </w:rPr>
            </w:pPr>
            <w:r>
              <w:rPr>
                <w:rFonts w:hint="eastAsia" w:ascii="宋体" w:hAnsi="宋体" w:cs="宋体"/>
                <w:color w:val="auto"/>
                <w:szCs w:val="21"/>
                <w:highlight w:val="none"/>
              </w:rPr>
              <w:t>联系人：</w:t>
            </w:r>
          </w:p>
          <w:p w14:paraId="0247D732">
            <w:pPr>
              <w:widowControl/>
              <w:snapToGrid w:val="0"/>
              <w:spacing w:line="300" w:lineRule="auto"/>
              <w:jc w:val="left"/>
              <w:rPr>
                <w:rFonts w:hint="eastAsia" w:ascii="宋体" w:hAnsi="宋体" w:cs="宋体"/>
                <w:color w:val="auto"/>
                <w:sz w:val="24"/>
                <w:szCs w:val="24"/>
                <w:highlight w:val="none"/>
              </w:rPr>
            </w:pPr>
            <w:r>
              <w:rPr>
                <w:rFonts w:hint="eastAsia" w:ascii="宋体" w:hAnsi="宋体" w:cs="宋体"/>
                <w:color w:val="auto"/>
                <w:szCs w:val="21"/>
                <w:highlight w:val="none"/>
              </w:rPr>
              <w:t>电话：</w:t>
            </w:r>
          </w:p>
        </w:tc>
      </w:tr>
      <w:tr w14:paraId="569E1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1" w:hRule="atLeast"/>
        </w:trPr>
        <w:tc>
          <w:tcPr>
            <w:tcW w:w="917" w:type="dxa"/>
            <w:shd w:val="clear" w:color="auto" w:fill="FFFFFF"/>
            <w:tcMar>
              <w:top w:w="0" w:type="dxa"/>
              <w:left w:w="108" w:type="dxa"/>
              <w:bottom w:w="0" w:type="dxa"/>
              <w:right w:w="108" w:type="dxa"/>
            </w:tcMar>
            <w:vAlign w:val="center"/>
          </w:tcPr>
          <w:p w14:paraId="06DC3B84">
            <w:pPr>
              <w:widowControl/>
              <w:snapToGrid w:val="0"/>
              <w:spacing w:line="300" w:lineRule="auto"/>
              <w:jc w:val="center"/>
              <w:rPr>
                <w:color w:val="auto"/>
                <w:highlight w:val="none"/>
              </w:rPr>
            </w:pPr>
          </w:p>
        </w:tc>
        <w:tc>
          <w:tcPr>
            <w:tcW w:w="1635" w:type="dxa"/>
            <w:shd w:val="clear" w:color="auto" w:fill="FFFFFF"/>
            <w:tcMar>
              <w:top w:w="0" w:type="dxa"/>
              <w:left w:w="108" w:type="dxa"/>
              <w:bottom w:w="0" w:type="dxa"/>
              <w:right w:w="108" w:type="dxa"/>
            </w:tcMar>
            <w:vAlign w:val="center"/>
          </w:tcPr>
          <w:p w14:paraId="39008BD9">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7001F80E">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4DFFBE79">
            <w:pPr>
              <w:widowControl/>
              <w:snapToGrid w:val="0"/>
              <w:spacing w:line="300" w:lineRule="auto"/>
              <w:jc w:val="center"/>
              <w:rPr>
                <w:rFonts w:hint="eastAsia" w:ascii="宋体" w:hAnsi="宋体" w:cs="宋体"/>
                <w:color w:val="auto"/>
                <w:szCs w:val="21"/>
                <w:highlight w:val="none"/>
              </w:rPr>
            </w:pPr>
          </w:p>
        </w:tc>
        <w:tc>
          <w:tcPr>
            <w:tcW w:w="1635" w:type="dxa"/>
            <w:shd w:val="clear" w:color="auto" w:fill="FFFFFF"/>
            <w:tcMar>
              <w:top w:w="0" w:type="dxa"/>
              <w:left w:w="108" w:type="dxa"/>
              <w:bottom w:w="0" w:type="dxa"/>
              <w:right w:w="108" w:type="dxa"/>
            </w:tcMar>
            <w:vAlign w:val="center"/>
          </w:tcPr>
          <w:p w14:paraId="0C9F4715">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5D04963C">
            <w:pPr>
              <w:widowControl/>
              <w:snapToGrid w:val="0"/>
              <w:spacing w:line="300" w:lineRule="auto"/>
              <w:jc w:val="center"/>
              <w:rPr>
                <w:color w:val="auto"/>
                <w:highlight w:val="none"/>
              </w:rPr>
            </w:pPr>
          </w:p>
        </w:tc>
      </w:tr>
      <w:tr w14:paraId="61560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1" w:hRule="atLeast"/>
        </w:trPr>
        <w:tc>
          <w:tcPr>
            <w:tcW w:w="917" w:type="dxa"/>
            <w:shd w:val="clear" w:color="auto" w:fill="FFFFFF"/>
            <w:tcMar>
              <w:top w:w="0" w:type="dxa"/>
              <w:left w:w="108" w:type="dxa"/>
              <w:bottom w:w="0" w:type="dxa"/>
              <w:right w:w="108" w:type="dxa"/>
            </w:tcMar>
            <w:vAlign w:val="center"/>
          </w:tcPr>
          <w:p w14:paraId="2F11CCD5">
            <w:pPr>
              <w:widowControl/>
              <w:snapToGrid w:val="0"/>
              <w:spacing w:line="300" w:lineRule="auto"/>
              <w:jc w:val="center"/>
              <w:rPr>
                <w:color w:val="auto"/>
                <w:highlight w:val="none"/>
              </w:rPr>
            </w:pPr>
          </w:p>
        </w:tc>
        <w:tc>
          <w:tcPr>
            <w:tcW w:w="1635" w:type="dxa"/>
            <w:shd w:val="clear" w:color="auto" w:fill="FFFFFF"/>
            <w:tcMar>
              <w:top w:w="0" w:type="dxa"/>
              <w:left w:w="108" w:type="dxa"/>
              <w:bottom w:w="0" w:type="dxa"/>
              <w:right w:w="108" w:type="dxa"/>
            </w:tcMar>
            <w:vAlign w:val="center"/>
          </w:tcPr>
          <w:p w14:paraId="43E4E5C3">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6328867A">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49263E28">
            <w:pPr>
              <w:widowControl/>
              <w:snapToGrid w:val="0"/>
              <w:spacing w:line="300" w:lineRule="auto"/>
              <w:jc w:val="center"/>
              <w:rPr>
                <w:color w:val="auto"/>
                <w:highlight w:val="none"/>
              </w:rPr>
            </w:pPr>
          </w:p>
        </w:tc>
        <w:tc>
          <w:tcPr>
            <w:tcW w:w="1635" w:type="dxa"/>
            <w:shd w:val="clear" w:color="auto" w:fill="FFFFFF"/>
            <w:tcMar>
              <w:top w:w="0" w:type="dxa"/>
              <w:left w:w="108" w:type="dxa"/>
              <w:bottom w:w="0" w:type="dxa"/>
              <w:right w:w="108" w:type="dxa"/>
            </w:tcMar>
            <w:vAlign w:val="center"/>
          </w:tcPr>
          <w:p w14:paraId="47F47AA8">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54519488">
            <w:pPr>
              <w:widowControl/>
              <w:snapToGrid w:val="0"/>
              <w:spacing w:line="300" w:lineRule="auto"/>
              <w:jc w:val="center"/>
              <w:rPr>
                <w:color w:val="auto"/>
                <w:highlight w:val="none"/>
              </w:rPr>
            </w:pPr>
          </w:p>
        </w:tc>
      </w:tr>
      <w:tr w14:paraId="71CD0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31" w:hRule="atLeast"/>
        </w:trPr>
        <w:tc>
          <w:tcPr>
            <w:tcW w:w="917" w:type="dxa"/>
            <w:shd w:val="clear" w:color="auto" w:fill="FFFFFF"/>
            <w:tcMar>
              <w:top w:w="0" w:type="dxa"/>
              <w:left w:w="108" w:type="dxa"/>
              <w:bottom w:w="0" w:type="dxa"/>
              <w:right w:w="108" w:type="dxa"/>
            </w:tcMar>
            <w:vAlign w:val="center"/>
          </w:tcPr>
          <w:p w14:paraId="728E3FEB">
            <w:pPr>
              <w:widowControl/>
              <w:snapToGrid w:val="0"/>
              <w:spacing w:line="300" w:lineRule="auto"/>
              <w:jc w:val="center"/>
              <w:rPr>
                <w:color w:val="auto"/>
                <w:highlight w:val="none"/>
              </w:rPr>
            </w:pPr>
          </w:p>
        </w:tc>
        <w:tc>
          <w:tcPr>
            <w:tcW w:w="1635" w:type="dxa"/>
            <w:shd w:val="clear" w:color="auto" w:fill="FFFFFF"/>
            <w:tcMar>
              <w:top w:w="0" w:type="dxa"/>
              <w:left w:w="108" w:type="dxa"/>
              <w:bottom w:w="0" w:type="dxa"/>
              <w:right w:w="108" w:type="dxa"/>
            </w:tcMar>
            <w:vAlign w:val="center"/>
          </w:tcPr>
          <w:p w14:paraId="4222056D">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36F440E5">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0F99BF6E">
            <w:pPr>
              <w:widowControl/>
              <w:snapToGrid w:val="0"/>
              <w:spacing w:line="300" w:lineRule="auto"/>
              <w:jc w:val="center"/>
              <w:rPr>
                <w:color w:val="auto"/>
                <w:highlight w:val="none"/>
              </w:rPr>
            </w:pPr>
          </w:p>
        </w:tc>
        <w:tc>
          <w:tcPr>
            <w:tcW w:w="1635" w:type="dxa"/>
            <w:shd w:val="clear" w:color="auto" w:fill="FFFFFF"/>
            <w:tcMar>
              <w:top w:w="0" w:type="dxa"/>
              <w:left w:w="108" w:type="dxa"/>
              <w:bottom w:w="0" w:type="dxa"/>
              <w:right w:w="108" w:type="dxa"/>
            </w:tcMar>
            <w:vAlign w:val="center"/>
          </w:tcPr>
          <w:p w14:paraId="0B067BE8">
            <w:pPr>
              <w:widowControl/>
              <w:snapToGrid w:val="0"/>
              <w:spacing w:line="300" w:lineRule="auto"/>
              <w:jc w:val="center"/>
              <w:rPr>
                <w:color w:val="auto"/>
                <w:highlight w:val="none"/>
              </w:rPr>
            </w:pPr>
          </w:p>
        </w:tc>
        <w:tc>
          <w:tcPr>
            <w:tcW w:w="1637" w:type="dxa"/>
            <w:shd w:val="clear" w:color="auto" w:fill="FFFFFF"/>
            <w:tcMar>
              <w:top w:w="0" w:type="dxa"/>
              <w:left w:w="108" w:type="dxa"/>
              <w:bottom w:w="0" w:type="dxa"/>
              <w:right w:w="108" w:type="dxa"/>
            </w:tcMar>
            <w:vAlign w:val="center"/>
          </w:tcPr>
          <w:p w14:paraId="2C72BDB2">
            <w:pPr>
              <w:widowControl/>
              <w:snapToGrid w:val="0"/>
              <w:spacing w:line="300" w:lineRule="auto"/>
              <w:jc w:val="center"/>
              <w:rPr>
                <w:color w:val="auto"/>
                <w:highlight w:val="none"/>
              </w:rPr>
            </w:pPr>
          </w:p>
        </w:tc>
      </w:tr>
      <w:tr w14:paraId="18C56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31" w:hRule="atLeast"/>
        </w:trPr>
        <w:tc>
          <w:tcPr>
            <w:tcW w:w="917" w:type="dxa"/>
            <w:shd w:val="clear" w:color="auto" w:fill="FFFFFF"/>
            <w:tcMar>
              <w:top w:w="0" w:type="dxa"/>
              <w:left w:w="108" w:type="dxa"/>
              <w:bottom w:w="0" w:type="dxa"/>
              <w:right w:w="108" w:type="dxa"/>
            </w:tcMar>
            <w:vAlign w:val="center"/>
          </w:tcPr>
          <w:p w14:paraId="254F1D11">
            <w:pPr>
              <w:widowControl/>
              <w:snapToGrid w:val="0"/>
              <w:spacing w:line="300" w:lineRule="auto"/>
              <w:jc w:val="center"/>
              <w:rPr>
                <w:rFonts w:hint="eastAsia" w:ascii="宋体" w:hAnsi="宋体" w:cs="宋体"/>
                <w:color w:val="auto"/>
                <w:sz w:val="24"/>
                <w:szCs w:val="24"/>
                <w:highlight w:val="none"/>
              </w:rPr>
            </w:pPr>
          </w:p>
        </w:tc>
        <w:tc>
          <w:tcPr>
            <w:tcW w:w="1635" w:type="dxa"/>
            <w:shd w:val="clear" w:color="auto" w:fill="FFFFFF"/>
            <w:tcMar>
              <w:top w:w="0" w:type="dxa"/>
              <w:left w:w="108" w:type="dxa"/>
              <w:bottom w:w="0" w:type="dxa"/>
              <w:right w:w="108" w:type="dxa"/>
            </w:tcMar>
            <w:vAlign w:val="center"/>
          </w:tcPr>
          <w:p w14:paraId="2EA986EE">
            <w:pPr>
              <w:widowControl/>
              <w:snapToGrid w:val="0"/>
              <w:spacing w:line="300" w:lineRule="auto"/>
              <w:jc w:val="center"/>
              <w:rPr>
                <w:rFonts w:hint="eastAsia" w:ascii="宋体" w:hAnsi="宋体" w:cs="宋体"/>
                <w:color w:val="auto"/>
                <w:sz w:val="24"/>
                <w:szCs w:val="24"/>
                <w:highlight w:val="none"/>
              </w:rPr>
            </w:pPr>
          </w:p>
        </w:tc>
        <w:tc>
          <w:tcPr>
            <w:tcW w:w="1637" w:type="dxa"/>
            <w:shd w:val="clear" w:color="auto" w:fill="FFFFFF"/>
            <w:tcMar>
              <w:top w:w="0" w:type="dxa"/>
              <w:left w:w="108" w:type="dxa"/>
              <w:bottom w:w="0" w:type="dxa"/>
              <w:right w:w="108" w:type="dxa"/>
            </w:tcMar>
            <w:vAlign w:val="center"/>
          </w:tcPr>
          <w:p w14:paraId="491D83E9">
            <w:pPr>
              <w:widowControl/>
              <w:snapToGrid w:val="0"/>
              <w:spacing w:line="300" w:lineRule="auto"/>
              <w:jc w:val="center"/>
              <w:rPr>
                <w:rFonts w:hint="eastAsia" w:ascii="宋体" w:hAnsi="宋体" w:cs="宋体"/>
                <w:color w:val="auto"/>
                <w:sz w:val="24"/>
                <w:szCs w:val="24"/>
                <w:highlight w:val="none"/>
              </w:rPr>
            </w:pPr>
          </w:p>
        </w:tc>
        <w:tc>
          <w:tcPr>
            <w:tcW w:w="1637" w:type="dxa"/>
            <w:shd w:val="clear" w:color="auto" w:fill="FFFFFF"/>
            <w:tcMar>
              <w:top w:w="0" w:type="dxa"/>
              <w:left w:w="108" w:type="dxa"/>
              <w:bottom w:w="0" w:type="dxa"/>
              <w:right w:w="108" w:type="dxa"/>
            </w:tcMar>
            <w:vAlign w:val="center"/>
          </w:tcPr>
          <w:p w14:paraId="23DB3894">
            <w:pPr>
              <w:widowControl/>
              <w:snapToGrid w:val="0"/>
              <w:spacing w:line="300" w:lineRule="auto"/>
              <w:jc w:val="center"/>
              <w:rPr>
                <w:rFonts w:hint="eastAsia" w:ascii="宋体" w:hAnsi="宋体" w:cs="宋体"/>
                <w:color w:val="auto"/>
                <w:sz w:val="24"/>
                <w:szCs w:val="24"/>
                <w:highlight w:val="none"/>
              </w:rPr>
            </w:pPr>
          </w:p>
        </w:tc>
        <w:tc>
          <w:tcPr>
            <w:tcW w:w="1635" w:type="dxa"/>
            <w:shd w:val="clear" w:color="auto" w:fill="FFFFFF"/>
            <w:tcMar>
              <w:top w:w="0" w:type="dxa"/>
              <w:left w:w="108" w:type="dxa"/>
              <w:bottom w:w="0" w:type="dxa"/>
              <w:right w:w="108" w:type="dxa"/>
            </w:tcMar>
            <w:vAlign w:val="center"/>
          </w:tcPr>
          <w:p w14:paraId="4A11351D">
            <w:pPr>
              <w:widowControl/>
              <w:snapToGrid w:val="0"/>
              <w:spacing w:line="300" w:lineRule="auto"/>
              <w:jc w:val="center"/>
              <w:rPr>
                <w:rFonts w:hint="eastAsia" w:ascii="宋体" w:hAnsi="宋体" w:cs="宋体"/>
                <w:color w:val="auto"/>
                <w:sz w:val="24"/>
                <w:szCs w:val="24"/>
                <w:highlight w:val="none"/>
              </w:rPr>
            </w:pPr>
          </w:p>
        </w:tc>
        <w:tc>
          <w:tcPr>
            <w:tcW w:w="1637" w:type="dxa"/>
            <w:shd w:val="clear" w:color="auto" w:fill="FFFFFF"/>
            <w:tcMar>
              <w:top w:w="0" w:type="dxa"/>
              <w:left w:w="108" w:type="dxa"/>
              <w:bottom w:w="0" w:type="dxa"/>
              <w:right w:w="108" w:type="dxa"/>
            </w:tcMar>
            <w:vAlign w:val="center"/>
          </w:tcPr>
          <w:p w14:paraId="1BC9EF2F">
            <w:pPr>
              <w:widowControl/>
              <w:snapToGrid w:val="0"/>
              <w:spacing w:line="300" w:lineRule="auto"/>
              <w:jc w:val="center"/>
              <w:rPr>
                <w:rFonts w:hint="eastAsia" w:ascii="宋体" w:hAnsi="宋体" w:cs="宋体"/>
                <w:color w:val="auto"/>
                <w:sz w:val="24"/>
                <w:szCs w:val="24"/>
                <w:highlight w:val="none"/>
              </w:rPr>
            </w:pPr>
          </w:p>
        </w:tc>
      </w:tr>
      <w:bookmarkEnd w:id="42"/>
    </w:tbl>
    <w:p w14:paraId="38E684DB">
      <w:pPr>
        <w:snapToGrid w:val="0"/>
        <w:spacing w:line="360" w:lineRule="auto"/>
        <w:rPr>
          <w:rFonts w:hint="eastAsia" w:ascii="宋体" w:hAnsi="宋体"/>
          <w:color w:val="auto"/>
          <w:szCs w:val="24"/>
          <w:highlight w:val="none"/>
        </w:rPr>
      </w:pPr>
      <w:r>
        <w:rPr>
          <w:rFonts w:hint="eastAsia" w:ascii="宋体" w:hAnsi="宋体"/>
          <w:color w:val="auto"/>
          <w:szCs w:val="24"/>
          <w:highlight w:val="none"/>
        </w:rPr>
        <w:t>注：1. 投标人必须按</w:t>
      </w:r>
      <w:r>
        <w:rPr>
          <w:rFonts w:hint="eastAsia" w:ascii="宋体" w:hAnsi="宋体"/>
          <w:color w:val="auto"/>
          <w:szCs w:val="24"/>
          <w:highlight w:val="none"/>
          <w:lang w:eastAsia="zh-CN"/>
        </w:rPr>
        <w:t>评标</w:t>
      </w:r>
      <w:r>
        <w:rPr>
          <w:rFonts w:hint="eastAsia" w:ascii="宋体" w:hAnsi="宋体"/>
          <w:color w:val="auto"/>
          <w:szCs w:val="24"/>
          <w:highlight w:val="none"/>
        </w:rPr>
        <w:t>表中要求在本表列出业绩及提供证明材料。</w:t>
      </w:r>
    </w:p>
    <w:p w14:paraId="2DCBFFF8">
      <w:pPr>
        <w:snapToGrid w:val="0"/>
        <w:spacing w:line="360" w:lineRule="auto"/>
        <w:ind w:firstLine="422" w:firstLineChars="200"/>
        <w:rPr>
          <w:rFonts w:hint="eastAsia" w:ascii="宋体" w:hAnsi="宋体"/>
          <w:color w:val="auto"/>
          <w:szCs w:val="24"/>
          <w:highlight w:val="none"/>
        </w:rPr>
      </w:pPr>
      <w:r>
        <w:rPr>
          <w:rFonts w:hint="eastAsia" w:ascii="宋体" w:hAnsi="宋体"/>
          <w:b/>
          <w:color w:val="auto"/>
          <w:szCs w:val="21"/>
          <w:highlight w:val="none"/>
        </w:rPr>
        <w:t>2. 未提供业绩证明材料，或提供的业绩证明材料未能显示</w:t>
      </w:r>
      <w:r>
        <w:rPr>
          <w:rFonts w:hint="eastAsia" w:ascii="宋体" w:hAnsi="宋体"/>
          <w:b/>
          <w:color w:val="auto"/>
          <w:szCs w:val="21"/>
          <w:highlight w:val="none"/>
          <w:lang w:eastAsia="zh-CN"/>
        </w:rPr>
        <w:t>评标</w:t>
      </w:r>
      <w:r>
        <w:rPr>
          <w:rFonts w:hint="eastAsia" w:ascii="宋体" w:hAnsi="宋体"/>
          <w:b/>
          <w:color w:val="auto"/>
          <w:szCs w:val="21"/>
          <w:highlight w:val="none"/>
        </w:rPr>
        <w:t>信息的，该业绩不予计算。</w:t>
      </w:r>
    </w:p>
    <w:p w14:paraId="7D0E2206">
      <w:pPr>
        <w:snapToGrid w:val="0"/>
        <w:spacing w:line="360" w:lineRule="auto"/>
        <w:ind w:firstLine="420" w:firstLineChars="200"/>
        <w:rPr>
          <w:rFonts w:hint="eastAsia" w:ascii="宋体" w:hAnsi="宋体"/>
          <w:b/>
          <w:color w:val="auto"/>
          <w:szCs w:val="21"/>
          <w:highlight w:val="none"/>
        </w:rPr>
      </w:pPr>
      <w:r>
        <w:rPr>
          <w:rFonts w:hint="eastAsia" w:ascii="宋体" w:hAnsi="宋体"/>
          <w:color w:val="auto"/>
          <w:szCs w:val="21"/>
          <w:highlight w:val="none"/>
        </w:rPr>
        <w:t>3.</w:t>
      </w:r>
      <w:r>
        <w:rPr>
          <w:rFonts w:hint="eastAsia" w:ascii="宋体" w:hAnsi="宋体"/>
          <w:b/>
          <w:color w:val="auto"/>
          <w:szCs w:val="21"/>
          <w:highlight w:val="none"/>
        </w:rPr>
        <w:t xml:space="preserve"> 本表可同类扩展。</w:t>
      </w:r>
    </w:p>
    <w:p w14:paraId="12D07048">
      <w:pPr>
        <w:snapToGrid w:val="0"/>
        <w:spacing w:line="360" w:lineRule="auto"/>
        <w:rPr>
          <w:rFonts w:hint="eastAsia" w:ascii="宋体" w:hAnsi="宋体"/>
          <w:b/>
          <w:color w:val="auto"/>
          <w:szCs w:val="21"/>
          <w:highlight w:val="none"/>
        </w:rPr>
      </w:pPr>
    </w:p>
    <w:p w14:paraId="1EAF42E7">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5F54480C">
      <w:pPr>
        <w:spacing w:after="120" w:line="360" w:lineRule="exact"/>
        <w:jc w:val="left"/>
        <w:rPr>
          <w:color w:val="auto"/>
          <w:sz w:val="16"/>
          <w:szCs w:val="21"/>
          <w:highlight w:val="none"/>
        </w:rPr>
      </w:pPr>
      <w:r>
        <w:rPr>
          <w:rFonts w:hint="eastAsia"/>
          <w:color w:val="auto"/>
          <w:szCs w:val="21"/>
          <w:highlight w:val="none"/>
        </w:rPr>
        <w:t>日期：   年   月   日</w:t>
      </w:r>
    </w:p>
    <w:p w14:paraId="075144B9">
      <w:pPr>
        <w:widowControl/>
        <w:jc w:val="left"/>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14:paraId="6A83D8A8">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4.5 拟任执行管理及技术人员情况</w:t>
      </w:r>
    </w:p>
    <w:tbl>
      <w:tblPr>
        <w:tblStyle w:val="22"/>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1326"/>
        <w:gridCol w:w="1327"/>
        <w:gridCol w:w="1327"/>
        <w:gridCol w:w="1327"/>
        <w:gridCol w:w="1327"/>
        <w:gridCol w:w="1327"/>
      </w:tblGrid>
      <w:tr w14:paraId="253F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Align w:val="center"/>
          </w:tcPr>
          <w:p w14:paraId="0715BEC4">
            <w:pPr>
              <w:spacing w:line="360" w:lineRule="auto"/>
              <w:jc w:val="center"/>
              <w:rPr>
                <w:rFonts w:hint="eastAsia" w:ascii="宋体" w:hAnsi="宋体"/>
                <w:color w:val="auto"/>
                <w:szCs w:val="21"/>
                <w:highlight w:val="none"/>
              </w:rPr>
            </w:pPr>
            <w:r>
              <w:rPr>
                <w:rFonts w:hint="eastAsia" w:ascii="宋体" w:hAnsi="宋体"/>
                <w:color w:val="auto"/>
                <w:szCs w:val="21"/>
                <w:highlight w:val="none"/>
              </w:rPr>
              <w:t>职责分工</w:t>
            </w:r>
          </w:p>
        </w:tc>
        <w:tc>
          <w:tcPr>
            <w:tcW w:w="1326" w:type="dxa"/>
            <w:vAlign w:val="center"/>
          </w:tcPr>
          <w:p w14:paraId="18901D92">
            <w:pPr>
              <w:spacing w:line="360" w:lineRule="auto"/>
              <w:jc w:val="center"/>
              <w:rPr>
                <w:rFonts w:hint="eastAsia" w:ascii="宋体" w:hAnsi="宋体"/>
                <w:color w:val="auto"/>
                <w:szCs w:val="21"/>
                <w:highlight w:val="none"/>
              </w:rPr>
            </w:pPr>
            <w:r>
              <w:rPr>
                <w:rFonts w:hint="eastAsia" w:ascii="宋体" w:hAnsi="宋体"/>
                <w:color w:val="auto"/>
                <w:szCs w:val="21"/>
                <w:highlight w:val="none"/>
              </w:rPr>
              <w:t>姓名</w:t>
            </w:r>
          </w:p>
        </w:tc>
        <w:tc>
          <w:tcPr>
            <w:tcW w:w="1327" w:type="dxa"/>
            <w:vAlign w:val="center"/>
          </w:tcPr>
          <w:p w14:paraId="345AFFBB">
            <w:pPr>
              <w:spacing w:line="360" w:lineRule="auto"/>
              <w:jc w:val="center"/>
              <w:rPr>
                <w:rFonts w:hint="eastAsia" w:ascii="宋体" w:hAnsi="宋体"/>
                <w:color w:val="auto"/>
                <w:szCs w:val="21"/>
                <w:highlight w:val="none"/>
              </w:rPr>
            </w:pPr>
            <w:r>
              <w:rPr>
                <w:rFonts w:hint="eastAsia" w:ascii="宋体" w:hAnsi="宋体"/>
                <w:color w:val="auto"/>
                <w:szCs w:val="21"/>
                <w:highlight w:val="none"/>
              </w:rPr>
              <w:t>现职务</w:t>
            </w:r>
          </w:p>
        </w:tc>
        <w:tc>
          <w:tcPr>
            <w:tcW w:w="1327" w:type="dxa"/>
            <w:vAlign w:val="center"/>
          </w:tcPr>
          <w:p w14:paraId="6A51C933">
            <w:pPr>
              <w:spacing w:line="360" w:lineRule="auto"/>
              <w:jc w:val="center"/>
              <w:rPr>
                <w:rFonts w:hint="eastAsia" w:ascii="宋体" w:hAnsi="宋体"/>
                <w:color w:val="auto"/>
                <w:szCs w:val="21"/>
                <w:highlight w:val="none"/>
              </w:rPr>
            </w:pPr>
            <w:r>
              <w:rPr>
                <w:rFonts w:hint="eastAsia" w:ascii="宋体" w:hAnsi="宋体"/>
                <w:color w:val="auto"/>
                <w:szCs w:val="21"/>
                <w:highlight w:val="none"/>
              </w:rPr>
              <w:t>曾主持</w:t>
            </w:r>
            <w:r>
              <w:rPr>
                <w:rFonts w:ascii="宋体" w:hAnsi="宋体"/>
                <w:color w:val="auto"/>
                <w:szCs w:val="21"/>
                <w:highlight w:val="none"/>
              </w:rPr>
              <w:t>/参与的同类项目经历</w:t>
            </w:r>
          </w:p>
        </w:tc>
        <w:tc>
          <w:tcPr>
            <w:tcW w:w="1327" w:type="dxa"/>
            <w:vAlign w:val="center"/>
          </w:tcPr>
          <w:p w14:paraId="4F0A03EB">
            <w:pPr>
              <w:spacing w:line="360" w:lineRule="auto"/>
              <w:jc w:val="center"/>
              <w:rPr>
                <w:rFonts w:hint="eastAsia" w:ascii="宋体" w:hAnsi="宋体"/>
                <w:color w:val="auto"/>
                <w:szCs w:val="21"/>
                <w:highlight w:val="none"/>
              </w:rPr>
            </w:pPr>
            <w:r>
              <w:rPr>
                <w:rFonts w:hint="eastAsia" w:ascii="宋体" w:hAnsi="宋体"/>
                <w:color w:val="auto"/>
                <w:szCs w:val="21"/>
                <w:highlight w:val="none"/>
              </w:rPr>
              <w:t>职称</w:t>
            </w:r>
          </w:p>
        </w:tc>
        <w:tc>
          <w:tcPr>
            <w:tcW w:w="1327" w:type="dxa"/>
            <w:vAlign w:val="center"/>
          </w:tcPr>
          <w:p w14:paraId="043EC85F">
            <w:pPr>
              <w:spacing w:line="360" w:lineRule="auto"/>
              <w:jc w:val="center"/>
              <w:rPr>
                <w:rFonts w:hint="eastAsia" w:ascii="宋体" w:hAnsi="宋体"/>
                <w:color w:val="auto"/>
                <w:szCs w:val="21"/>
                <w:highlight w:val="none"/>
              </w:rPr>
            </w:pPr>
            <w:r>
              <w:rPr>
                <w:rFonts w:hint="eastAsia" w:ascii="宋体" w:hAnsi="宋体"/>
                <w:color w:val="auto"/>
                <w:szCs w:val="21"/>
                <w:highlight w:val="none"/>
              </w:rPr>
              <w:t>专业工龄</w:t>
            </w:r>
          </w:p>
        </w:tc>
        <w:tc>
          <w:tcPr>
            <w:tcW w:w="1327" w:type="dxa"/>
            <w:vAlign w:val="center"/>
          </w:tcPr>
          <w:p w14:paraId="6D798867">
            <w:pPr>
              <w:spacing w:line="360" w:lineRule="auto"/>
              <w:jc w:val="center"/>
              <w:rPr>
                <w:rFonts w:hint="eastAsia" w:ascii="宋体" w:hAnsi="宋体"/>
                <w:color w:val="auto"/>
                <w:szCs w:val="21"/>
                <w:highlight w:val="none"/>
              </w:rPr>
            </w:pPr>
            <w:r>
              <w:rPr>
                <w:rFonts w:hint="eastAsia" w:ascii="宋体" w:hAnsi="宋体"/>
                <w:color w:val="auto"/>
                <w:szCs w:val="21"/>
                <w:highlight w:val="none"/>
              </w:rPr>
              <w:t>联系电话</w:t>
            </w:r>
            <w:r>
              <w:rPr>
                <w:rFonts w:ascii="宋体" w:hAnsi="宋体"/>
                <w:color w:val="auto"/>
                <w:szCs w:val="21"/>
                <w:highlight w:val="none"/>
              </w:rPr>
              <w:t>/手机</w:t>
            </w:r>
          </w:p>
        </w:tc>
      </w:tr>
      <w:tr w14:paraId="37C3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Align w:val="center"/>
          </w:tcPr>
          <w:p w14:paraId="48FCFF86">
            <w:pPr>
              <w:spacing w:line="360" w:lineRule="auto"/>
              <w:jc w:val="center"/>
              <w:rPr>
                <w:rFonts w:hint="eastAsia" w:ascii="宋体" w:hAnsi="宋体"/>
                <w:color w:val="auto"/>
                <w:szCs w:val="21"/>
                <w:highlight w:val="none"/>
              </w:rPr>
            </w:pPr>
            <w:r>
              <w:rPr>
                <w:rFonts w:hint="eastAsia" w:ascii="宋体" w:hAnsi="宋体"/>
                <w:color w:val="auto"/>
                <w:szCs w:val="21"/>
                <w:highlight w:val="none"/>
              </w:rPr>
              <w:t>项目经理</w:t>
            </w:r>
          </w:p>
        </w:tc>
        <w:tc>
          <w:tcPr>
            <w:tcW w:w="1326" w:type="dxa"/>
            <w:vAlign w:val="center"/>
          </w:tcPr>
          <w:p w14:paraId="0C3C46A0">
            <w:pPr>
              <w:spacing w:line="360" w:lineRule="auto"/>
              <w:jc w:val="center"/>
              <w:rPr>
                <w:rFonts w:hint="eastAsia" w:ascii="宋体" w:hAnsi="宋体"/>
                <w:color w:val="auto"/>
                <w:szCs w:val="21"/>
                <w:highlight w:val="none"/>
              </w:rPr>
            </w:pPr>
          </w:p>
        </w:tc>
        <w:tc>
          <w:tcPr>
            <w:tcW w:w="1327" w:type="dxa"/>
            <w:vAlign w:val="center"/>
          </w:tcPr>
          <w:p w14:paraId="762E7104">
            <w:pPr>
              <w:spacing w:line="360" w:lineRule="auto"/>
              <w:jc w:val="center"/>
              <w:rPr>
                <w:rFonts w:hint="eastAsia" w:ascii="宋体" w:hAnsi="宋体"/>
                <w:color w:val="auto"/>
                <w:szCs w:val="21"/>
                <w:highlight w:val="none"/>
              </w:rPr>
            </w:pPr>
          </w:p>
        </w:tc>
        <w:tc>
          <w:tcPr>
            <w:tcW w:w="1327" w:type="dxa"/>
            <w:vAlign w:val="center"/>
          </w:tcPr>
          <w:p w14:paraId="0E72E11B">
            <w:pPr>
              <w:spacing w:line="360" w:lineRule="auto"/>
              <w:jc w:val="center"/>
              <w:rPr>
                <w:rFonts w:hint="eastAsia" w:ascii="宋体" w:hAnsi="宋体"/>
                <w:color w:val="auto"/>
                <w:szCs w:val="21"/>
                <w:highlight w:val="none"/>
              </w:rPr>
            </w:pPr>
          </w:p>
        </w:tc>
        <w:tc>
          <w:tcPr>
            <w:tcW w:w="1327" w:type="dxa"/>
            <w:vAlign w:val="center"/>
          </w:tcPr>
          <w:p w14:paraId="6F05ACE7">
            <w:pPr>
              <w:spacing w:line="360" w:lineRule="auto"/>
              <w:jc w:val="center"/>
              <w:rPr>
                <w:rFonts w:hint="eastAsia" w:ascii="宋体" w:hAnsi="宋体"/>
                <w:color w:val="auto"/>
                <w:szCs w:val="21"/>
                <w:highlight w:val="none"/>
              </w:rPr>
            </w:pPr>
          </w:p>
        </w:tc>
        <w:tc>
          <w:tcPr>
            <w:tcW w:w="1327" w:type="dxa"/>
            <w:vAlign w:val="center"/>
          </w:tcPr>
          <w:p w14:paraId="48DDED65">
            <w:pPr>
              <w:spacing w:line="360" w:lineRule="auto"/>
              <w:jc w:val="center"/>
              <w:rPr>
                <w:rFonts w:hint="eastAsia" w:ascii="宋体" w:hAnsi="宋体"/>
                <w:color w:val="auto"/>
                <w:szCs w:val="21"/>
                <w:highlight w:val="none"/>
              </w:rPr>
            </w:pPr>
          </w:p>
        </w:tc>
        <w:tc>
          <w:tcPr>
            <w:tcW w:w="1327" w:type="dxa"/>
            <w:vAlign w:val="center"/>
          </w:tcPr>
          <w:p w14:paraId="6BF34F3B">
            <w:pPr>
              <w:spacing w:line="360" w:lineRule="auto"/>
              <w:jc w:val="center"/>
              <w:rPr>
                <w:rFonts w:hint="eastAsia" w:ascii="宋体" w:hAnsi="宋体"/>
                <w:color w:val="auto"/>
                <w:szCs w:val="21"/>
                <w:highlight w:val="none"/>
              </w:rPr>
            </w:pPr>
          </w:p>
        </w:tc>
      </w:tr>
      <w:tr w14:paraId="346DC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restart"/>
            <w:vAlign w:val="center"/>
          </w:tcPr>
          <w:p w14:paraId="630850A4">
            <w:pPr>
              <w:spacing w:line="360" w:lineRule="auto"/>
              <w:jc w:val="center"/>
              <w:rPr>
                <w:rFonts w:hint="eastAsia" w:ascii="宋体" w:hAnsi="宋体"/>
                <w:color w:val="auto"/>
                <w:szCs w:val="21"/>
                <w:highlight w:val="none"/>
              </w:rPr>
            </w:pPr>
            <w:r>
              <w:rPr>
                <w:rFonts w:hint="eastAsia" w:ascii="宋体" w:hAnsi="宋体"/>
                <w:color w:val="auto"/>
                <w:szCs w:val="21"/>
                <w:highlight w:val="none"/>
              </w:rPr>
              <w:t>其他主要技术人员</w:t>
            </w:r>
          </w:p>
        </w:tc>
        <w:tc>
          <w:tcPr>
            <w:tcW w:w="1326" w:type="dxa"/>
            <w:vAlign w:val="center"/>
          </w:tcPr>
          <w:p w14:paraId="7AC81BE0">
            <w:pPr>
              <w:spacing w:line="360" w:lineRule="auto"/>
              <w:jc w:val="center"/>
              <w:rPr>
                <w:rFonts w:hint="eastAsia" w:ascii="宋体" w:hAnsi="宋体"/>
                <w:color w:val="auto"/>
                <w:szCs w:val="21"/>
                <w:highlight w:val="none"/>
              </w:rPr>
            </w:pPr>
          </w:p>
        </w:tc>
        <w:tc>
          <w:tcPr>
            <w:tcW w:w="1327" w:type="dxa"/>
            <w:vAlign w:val="center"/>
          </w:tcPr>
          <w:p w14:paraId="62647939">
            <w:pPr>
              <w:spacing w:line="360" w:lineRule="auto"/>
              <w:jc w:val="center"/>
              <w:rPr>
                <w:rFonts w:hint="eastAsia" w:ascii="宋体" w:hAnsi="宋体"/>
                <w:color w:val="auto"/>
                <w:szCs w:val="21"/>
                <w:highlight w:val="none"/>
              </w:rPr>
            </w:pPr>
          </w:p>
        </w:tc>
        <w:tc>
          <w:tcPr>
            <w:tcW w:w="1327" w:type="dxa"/>
            <w:vAlign w:val="center"/>
          </w:tcPr>
          <w:p w14:paraId="5BBDD5C1">
            <w:pPr>
              <w:spacing w:line="360" w:lineRule="auto"/>
              <w:jc w:val="center"/>
              <w:rPr>
                <w:rFonts w:hint="eastAsia" w:ascii="宋体" w:hAnsi="宋体"/>
                <w:color w:val="auto"/>
                <w:szCs w:val="21"/>
                <w:highlight w:val="none"/>
              </w:rPr>
            </w:pPr>
          </w:p>
        </w:tc>
        <w:tc>
          <w:tcPr>
            <w:tcW w:w="1327" w:type="dxa"/>
            <w:vAlign w:val="center"/>
          </w:tcPr>
          <w:p w14:paraId="369D1E7D">
            <w:pPr>
              <w:spacing w:line="360" w:lineRule="auto"/>
              <w:jc w:val="center"/>
              <w:rPr>
                <w:rFonts w:hint="eastAsia" w:ascii="宋体" w:hAnsi="宋体"/>
                <w:color w:val="auto"/>
                <w:szCs w:val="21"/>
                <w:highlight w:val="none"/>
              </w:rPr>
            </w:pPr>
          </w:p>
        </w:tc>
        <w:tc>
          <w:tcPr>
            <w:tcW w:w="1327" w:type="dxa"/>
            <w:vAlign w:val="center"/>
          </w:tcPr>
          <w:p w14:paraId="0A36BA3B">
            <w:pPr>
              <w:spacing w:line="360" w:lineRule="auto"/>
              <w:jc w:val="center"/>
              <w:rPr>
                <w:rFonts w:hint="eastAsia" w:ascii="宋体" w:hAnsi="宋体"/>
                <w:color w:val="auto"/>
                <w:szCs w:val="21"/>
                <w:highlight w:val="none"/>
              </w:rPr>
            </w:pPr>
          </w:p>
        </w:tc>
        <w:tc>
          <w:tcPr>
            <w:tcW w:w="1327" w:type="dxa"/>
            <w:vAlign w:val="center"/>
          </w:tcPr>
          <w:p w14:paraId="1EBFD7BD">
            <w:pPr>
              <w:spacing w:line="360" w:lineRule="auto"/>
              <w:jc w:val="center"/>
              <w:rPr>
                <w:rFonts w:hint="eastAsia" w:ascii="宋体" w:hAnsi="宋体"/>
                <w:color w:val="auto"/>
                <w:szCs w:val="21"/>
                <w:highlight w:val="none"/>
              </w:rPr>
            </w:pPr>
          </w:p>
        </w:tc>
      </w:tr>
      <w:tr w14:paraId="17CF6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2E4A871A">
            <w:pPr>
              <w:spacing w:line="360" w:lineRule="auto"/>
              <w:jc w:val="center"/>
              <w:rPr>
                <w:rFonts w:hint="eastAsia" w:ascii="宋体" w:hAnsi="宋体"/>
                <w:color w:val="auto"/>
                <w:szCs w:val="21"/>
                <w:highlight w:val="none"/>
              </w:rPr>
            </w:pPr>
          </w:p>
        </w:tc>
        <w:tc>
          <w:tcPr>
            <w:tcW w:w="1326" w:type="dxa"/>
            <w:vAlign w:val="center"/>
          </w:tcPr>
          <w:p w14:paraId="237388F7">
            <w:pPr>
              <w:spacing w:line="360" w:lineRule="auto"/>
              <w:jc w:val="center"/>
              <w:rPr>
                <w:rFonts w:hint="eastAsia" w:ascii="宋体" w:hAnsi="宋体"/>
                <w:color w:val="auto"/>
                <w:szCs w:val="21"/>
                <w:highlight w:val="none"/>
              </w:rPr>
            </w:pPr>
          </w:p>
        </w:tc>
        <w:tc>
          <w:tcPr>
            <w:tcW w:w="1327" w:type="dxa"/>
            <w:vAlign w:val="center"/>
          </w:tcPr>
          <w:p w14:paraId="681B8F8E">
            <w:pPr>
              <w:spacing w:line="360" w:lineRule="auto"/>
              <w:jc w:val="center"/>
              <w:rPr>
                <w:rFonts w:hint="eastAsia" w:ascii="宋体" w:hAnsi="宋体"/>
                <w:color w:val="auto"/>
                <w:szCs w:val="21"/>
                <w:highlight w:val="none"/>
              </w:rPr>
            </w:pPr>
          </w:p>
        </w:tc>
        <w:tc>
          <w:tcPr>
            <w:tcW w:w="1327" w:type="dxa"/>
            <w:vAlign w:val="center"/>
          </w:tcPr>
          <w:p w14:paraId="05DCAB4D">
            <w:pPr>
              <w:spacing w:line="360" w:lineRule="auto"/>
              <w:jc w:val="center"/>
              <w:rPr>
                <w:rFonts w:hint="eastAsia" w:ascii="宋体" w:hAnsi="宋体"/>
                <w:color w:val="auto"/>
                <w:szCs w:val="21"/>
                <w:highlight w:val="none"/>
              </w:rPr>
            </w:pPr>
          </w:p>
        </w:tc>
        <w:tc>
          <w:tcPr>
            <w:tcW w:w="1327" w:type="dxa"/>
            <w:vAlign w:val="center"/>
          </w:tcPr>
          <w:p w14:paraId="473014D2">
            <w:pPr>
              <w:spacing w:line="360" w:lineRule="auto"/>
              <w:jc w:val="center"/>
              <w:rPr>
                <w:rFonts w:hint="eastAsia" w:ascii="宋体" w:hAnsi="宋体"/>
                <w:color w:val="auto"/>
                <w:szCs w:val="21"/>
                <w:highlight w:val="none"/>
              </w:rPr>
            </w:pPr>
          </w:p>
        </w:tc>
        <w:tc>
          <w:tcPr>
            <w:tcW w:w="1327" w:type="dxa"/>
            <w:vAlign w:val="center"/>
          </w:tcPr>
          <w:p w14:paraId="608DF0C1">
            <w:pPr>
              <w:spacing w:line="360" w:lineRule="auto"/>
              <w:jc w:val="center"/>
              <w:rPr>
                <w:rFonts w:hint="eastAsia" w:ascii="宋体" w:hAnsi="宋体"/>
                <w:color w:val="auto"/>
                <w:szCs w:val="21"/>
                <w:highlight w:val="none"/>
              </w:rPr>
            </w:pPr>
          </w:p>
        </w:tc>
        <w:tc>
          <w:tcPr>
            <w:tcW w:w="1327" w:type="dxa"/>
            <w:vAlign w:val="center"/>
          </w:tcPr>
          <w:p w14:paraId="53B9BD33">
            <w:pPr>
              <w:spacing w:line="360" w:lineRule="auto"/>
              <w:jc w:val="center"/>
              <w:rPr>
                <w:rFonts w:hint="eastAsia" w:ascii="宋体" w:hAnsi="宋体"/>
                <w:color w:val="auto"/>
                <w:szCs w:val="21"/>
                <w:highlight w:val="none"/>
              </w:rPr>
            </w:pPr>
          </w:p>
        </w:tc>
      </w:tr>
      <w:tr w14:paraId="0310B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0BEE8175">
            <w:pPr>
              <w:spacing w:line="360" w:lineRule="auto"/>
              <w:jc w:val="center"/>
              <w:rPr>
                <w:rFonts w:hint="eastAsia" w:ascii="宋体" w:hAnsi="宋体"/>
                <w:color w:val="auto"/>
                <w:szCs w:val="21"/>
                <w:highlight w:val="none"/>
              </w:rPr>
            </w:pPr>
          </w:p>
        </w:tc>
        <w:tc>
          <w:tcPr>
            <w:tcW w:w="1326" w:type="dxa"/>
            <w:vAlign w:val="center"/>
          </w:tcPr>
          <w:p w14:paraId="6458C7BE">
            <w:pPr>
              <w:spacing w:line="360" w:lineRule="auto"/>
              <w:jc w:val="center"/>
              <w:rPr>
                <w:rFonts w:hint="eastAsia" w:ascii="宋体" w:hAnsi="宋体"/>
                <w:color w:val="auto"/>
                <w:szCs w:val="21"/>
                <w:highlight w:val="none"/>
              </w:rPr>
            </w:pPr>
          </w:p>
        </w:tc>
        <w:tc>
          <w:tcPr>
            <w:tcW w:w="1327" w:type="dxa"/>
            <w:vAlign w:val="center"/>
          </w:tcPr>
          <w:p w14:paraId="23509284">
            <w:pPr>
              <w:spacing w:line="360" w:lineRule="auto"/>
              <w:jc w:val="center"/>
              <w:rPr>
                <w:rFonts w:hint="eastAsia" w:ascii="宋体" w:hAnsi="宋体"/>
                <w:color w:val="auto"/>
                <w:szCs w:val="21"/>
                <w:highlight w:val="none"/>
              </w:rPr>
            </w:pPr>
          </w:p>
        </w:tc>
        <w:tc>
          <w:tcPr>
            <w:tcW w:w="1327" w:type="dxa"/>
            <w:vAlign w:val="center"/>
          </w:tcPr>
          <w:p w14:paraId="39C9F0DF">
            <w:pPr>
              <w:spacing w:line="360" w:lineRule="auto"/>
              <w:jc w:val="center"/>
              <w:rPr>
                <w:rFonts w:hint="eastAsia" w:ascii="宋体" w:hAnsi="宋体"/>
                <w:color w:val="auto"/>
                <w:szCs w:val="21"/>
                <w:highlight w:val="none"/>
              </w:rPr>
            </w:pPr>
          </w:p>
        </w:tc>
        <w:tc>
          <w:tcPr>
            <w:tcW w:w="1327" w:type="dxa"/>
            <w:vAlign w:val="center"/>
          </w:tcPr>
          <w:p w14:paraId="1D02F9FF">
            <w:pPr>
              <w:spacing w:line="360" w:lineRule="auto"/>
              <w:jc w:val="center"/>
              <w:rPr>
                <w:rFonts w:hint="eastAsia" w:ascii="宋体" w:hAnsi="宋体"/>
                <w:color w:val="auto"/>
                <w:szCs w:val="21"/>
                <w:highlight w:val="none"/>
              </w:rPr>
            </w:pPr>
          </w:p>
        </w:tc>
        <w:tc>
          <w:tcPr>
            <w:tcW w:w="1327" w:type="dxa"/>
            <w:vAlign w:val="center"/>
          </w:tcPr>
          <w:p w14:paraId="5302F963">
            <w:pPr>
              <w:spacing w:line="360" w:lineRule="auto"/>
              <w:jc w:val="center"/>
              <w:rPr>
                <w:rFonts w:hint="eastAsia" w:ascii="宋体" w:hAnsi="宋体"/>
                <w:color w:val="auto"/>
                <w:szCs w:val="21"/>
                <w:highlight w:val="none"/>
              </w:rPr>
            </w:pPr>
          </w:p>
        </w:tc>
        <w:tc>
          <w:tcPr>
            <w:tcW w:w="1327" w:type="dxa"/>
            <w:vAlign w:val="center"/>
          </w:tcPr>
          <w:p w14:paraId="49999C23">
            <w:pPr>
              <w:spacing w:line="360" w:lineRule="auto"/>
              <w:jc w:val="center"/>
              <w:rPr>
                <w:rFonts w:hint="eastAsia" w:ascii="宋体" w:hAnsi="宋体"/>
                <w:color w:val="auto"/>
                <w:szCs w:val="21"/>
                <w:highlight w:val="none"/>
              </w:rPr>
            </w:pPr>
          </w:p>
        </w:tc>
      </w:tr>
      <w:tr w14:paraId="6B3A6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28E6830C">
            <w:pPr>
              <w:spacing w:line="360" w:lineRule="auto"/>
              <w:jc w:val="center"/>
              <w:rPr>
                <w:rFonts w:hint="eastAsia" w:ascii="宋体" w:hAnsi="宋体"/>
                <w:color w:val="auto"/>
                <w:szCs w:val="21"/>
                <w:highlight w:val="none"/>
              </w:rPr>
            </w:pPr>
          </w:p>
        </w:tc>
        <w:tc>
          <w:tcPr>
            <w:tcW w:w="1326" w:type="dxa"/>
            <w:vAlign w:val="center"/>
          </w:tcPr>
          <w:p w14:paraId="0D833194">
            <w:pPr>
              <w:spacing w:line="360" w:lineRule="auto"/>
              <w:jc w:val="center"/>
              <w:rPr>
                <w:rFonts w:hint="eastAsia" w:ascii="宋体" w:hAnsi="宋体"/>
                <w:color w:val="auto"/>
                <w:szCs w:val="21"/>
                <w:highlight w:val="none"/>
              </w:rPr>
            </w:pPr>
          </w:p>
        </w:tc>
        <w:tc>
          <w:tcPr>
            <w:tcW w:w="1327" w:type="dxa"/>
            <w:vAlign w:val="center"/>
          </w:tcPr>
          <w:p w14:paraId="25E1D59B">
            <w:pPr>
              <w:spacing w:line="360" w:lineRule="auto"/>
              <w:jc w:val="center"/>
              <w:rPr>
                <w:rFonts w:hint="eastAsia" w:ascii="宋体" w:hAnsi="宋体"/>
                <w:color w:val="auto"/>
                <w:szCs w:val="21"/>
                <w:highlight w:val="none"/>
              </w:rPr>
            </w:pPr>
          </w:p>
        </w:tc>
        <w:tc>
          <w:tcPr>
            <w:tcW w:w="1327" w:type="dxa"/>
            <w:vAlign w:val="center"/>
          </w:tcPr>
          <w:p w14:paraId="5CD17451">
            <w:pPr>
              <w:spacing w:line="360" w:lineRule="auto"/>
              <w:jc w:val="center"/>
              <w:rPr>
                <w:rFonts w:hint="eastAsia" w:ascii="宋体" w:hAnsi="宋体"/>
                <w:color w:val="auto"/>
                <w:szCs w:val="21"/>
                <w:highlight w:val="none"/>
              </w:rPr>
            </w:pPr>
          </w:p>
        </w:tc>
        <w:tc>
          <w:tcPr>
            <w:tcW w:w="1327" w:type="dxa"/>
            <w:vAlign w:val="center"/>
          </w:tcPr>
          <w:p w14:paraId="20FAA46A">
            <w:pPr>
              <w:spacing w:line="360" w:lineRule="auto"/>
              <w:jc w:val="center"/>
              <w:rPr>
                <w:rFonts w:hint="eastAsia" w:ascii="宋体" w:hAnsi="宋体"/>
                <w:color w:val="auto"/>
                <w:szCs w:val="21"/>
                <w:highlight w:val="none"/>
              </w:rPr>
            </w:pPr>
          </w:p>
        </w:tc>
        <w:tc>
          <w:tcPr>
            <w:tcW w:w="1327" w:type="dxa"/>
            <w:vAlign w:val="center"/>
          </w:tcPr>
          <w:p w14:paraId="4CB810ED">
            <w:pPr>
              <w:spacing w:line="360" w:lineRule="auto"/>
              <w:jc w:val="center"/>
              <w:rPr>
                <w:rFonts w:hint="eastAsia" w:ascii="宋体" w:hAnsi="宋体"/>
                <w:color w:val="auto"/>
                <w:szCs w:val="21"/>
                <w:highlight w:val="none"/>
              </w:rPr>
            </w:pPr>
          </w:p>
        </w:tc>
        <w:tc>
          <w:tcPr>
            <w:tcW w:w="1327" w:type="dxa"/>
            <w:vAlign w:val="center"/>
          </w:tcPr>
          <w:p w14:paraId="4C2CDF12">
            <w:pPr>
              <w:spacing w:line="360" w:lineRule="auto"/>
              <w:jc w:val="center"/>
              <w:rPr>
                <w:rFonts w:hint="eastAsia" w:ascii="宋体" w:hAnsi="宋体"/>
                <w:color w:val="auto"/>
                <w:szCs w:val="21"/>
                <w:highlight w:val="none"/>
              </w:rPr>
            </w:pPr>
          </w:p>
        </w:tc>
      </w:tr>
      <w:tr w14:paraId="3421E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6" w:type="dxa"/>
            <w:vMerge w:val="continue"/>
            <w:vAlign w:val="center"/>
          </w:tcPr>
          <w:p w14:paraId="7CD5C8CA">
            <w:pPr>
              <w:spacing w:line="360" w:lineRule="auto"/>
              <w:jc w:val="center"/>
              <w:rPr>
                <w:rFonts w:hint="eastAsia" w:ascii="宋体" w:hAnsi="宋体"/>
                <w:color w:val="auto"/>
                <w:szCs w:val="21"/>
                <w:highlight w:val="none"/>
              </w:rPr>
            </w:pPr>
          </w:p>
        </w:tc>
        <w:tc>
          <w:tcPr>
            <w:tcW w:w="1326" w:type="dxa"/>
            <w:vAlign w:val="center"/>
          </w:tcPr>
          <w:p w14:paraId="457F6B42">
            <w:pPr>
              <w:spacing w:line="360" w:lineRule="auto"/>
              <w:jc w:val="center"/>
              <w:rPr>
                <w:rFonts w:hint="eastAsia" w:ascii="宋体" w:hAnsi="宋体"/>
                <w:color w:val="auto"/>
                <w:szCs w:val="21"/>
                <w:highlight w:val="none"/>
              </w:rPr>
            </w:pPr>
            <w:r>
              <w:rPr>
                <w:rFonts w:ascii="宋体" w:hAnsi="宋体"/>
                <w:color w:val="auto"/>
                <w:szCs w:val="21"/>
                <w:highlight w:val="none"/>
              </w:rPr>
              <w:t>…</w:t>
            </w:r>
          </w:p>
        </w:tc>
        <w:tc>
          <w:tcPr>
            <w:tcW w:w="1327" w:type="dxa"/>
            <w:vAlign w:val="center"/>
          </w:tcPr>
          <w:p w14:paraId="4A3A63BA">
            <w:pPr>
              <w:spacing w:line="360" w:lineRule="auto"/>
              <w:jc w:val="center"/>
              <w:rPr>
                <w:rFonts w:hint="eastAsia" w:ascii="宋体" w:hAnsi="宋体"/>
                <w:color w:val="auto"/>
                <w:szCs w:val="21"/>
                <w:highlight w:val="none"/>
              </w:rPr>
            </w:pPr>
          </w:p>
        </w:tc>
        <w:tc>
          <w:tcPr>
            <w:tcW w:w="1327" w:type="dxa"/>
            <w:vAlign w:val="center"/>
          </w:tcPr>
          <w:p w14:paraId="2EEFE0EB">
            <w:pPr>
              <w:spacing w:line="360" w:lineRule="auto"/>
              <w:jc w:val="center"/>
              <w:rPr>
                <w:rFonts w:hint="eastAsia" w:ascii="宋体" w:hAnsi="宋体"/>
                <w:color w:val="auto"/>
                <w:szCs w:val="21"/>
                <w:highlight w:val="none"/>
              </w:rPr>
            </w:pPr>
          </w:p>
        </w:tc>
        <w:tc>
          <w:tcPr>
            <w:tcW w:w="1327" w:type="dxa"/>
            <w:vAlign w:val="center"/>
          </w:tcPr>
          <w:p w14:paraId="3B60111B">
            <w:pPr>
              <w:spacing w:line="360" w:lineRule="auto"/>
              <w:jc w:val="center"/>
              <w:rPr>
                <w:rFonts w:hint="eastAsia" w:ascii="宋体" w:hAnsi="宋体"/>
                <w:color w:val="auto"/>
                <w:szCs w:val="21"/>
                <w:highlight w:val="none"/>
              </w:rPr>
            </w:pPr>
          </w:p>
        </w:tc>
        <w:tc>
          <w:tcPr>
            <w:tcW w:w="1327" w:type="dxa"/>
            <w:vAlign w:val="center"/>
          </w:tcPr>
          <w:p w14:paraId="71729F25">
            <w:pPr>
              <w:spacing w:line="360" w:lineRule="auto"/>
              <w:jc w:val="center"/>
              <w:rPr>
                <w:rFonts w:hint="eastAsia" w:ascii="宋体" w:hAnsi="宋体"/>
                <w:color w:val="auto"/>
                <w:szCs w:val="21"/>
                <w:highlight w:val="none"/>
              </w:rPr>
            </w:pPr>
          </w:p>
        </w:tc>
        <w:tc>
          <w:tcPr>
            <w:tcW w:w="1327" w:type="dxa"/>
            <w:vAlign w:val="center"/>
          </w:tcPr>
          <w:p w14:paraId="73057033">
            <w:pPr>
              <w:spacing w:line="360" w:lineRule="auto"/>
              <w:jc w:val="center"/>
              <w:rPr>
                <w:rFonts w:hint="eastAsia" w:ascii="宋体" w:hAnsi="宋体"/>
                <w:color w:val="auto"/>
                <w:szCs w:val="21"/>
                <w:highlight w:val="none"/>
              </w:rPr>
            </w:pPr>
          </w:p>
        </w:tc>
      </w:tr>
    </w:tbl>
    <w:p w14:paraId="4CFCC6B9">
      <w:pPr>
        <w:tabs>
          <w:tab w:val="left" w:pos="540"/>
        </w:tabs>
        <w:rPr>
          <w:rFonts w:hint="eastAsia" w:ascii="宋体" w:hAnsi="宋体"/>
          <w:color w:val="auto"/>
          <w:szCs w:val="21"/>
          <w:highlight w:val="none"/>
          <w:lang w:val="en-GB"/>
        </w:rPr>
      </w:pPr>
    </w:p>
    <w:p w14:paraId="273CBE24">
      <w:pPr>
        <w:widowControl/>
        <w:jc w:val="left"/>
        <w:rPr>
          <w:rFonts w:ascii="Times New Roman" w:hAnsi="Times New Roman"/>
          <w:b/>
          <w:bCs/>
          <w:color w:val="auto"/>
          <w:sz w:val="28"/>
          <w:szCs w:val="28"/>
          <w:highlight w:val="none"/>
        </w:rPr>
      </w:pPr>
      <w:r>
        <w:rPr>
          <w:rFonts w:ascii="Times New Roman" w:hAnsi="Times New Roman"/>
          <w:b/>
          <w:bCs/>
          <w:color w:val="auto"/>
          <w:sz w:val="28"/>
          <w:szCs w:val="28"/>
          <w:highlight w:val="none"/>
        </w:rPr>
        <w:br w:type="page"/>
      </w:r>
    </w:p>
    <w:p w14:paraId="2DE1BED6">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4.6 投标人认为有必要提供的其它资料（如有）</w:t>
      </w:r>
    </w:p>
    <w:p w14:paraId="2466E9C7">
      <w:pPr>
        <w:spacing w:line="360" w:lineRule="auto"/>
        <w:rPr>
          <w:rFonts w:hint="eastAsia" w:ascii="宋体" w:hAnsi="宋体"/>
          <w:color w:val="auto"/>
          <w:szCs w:val="21"/>
          <w:highlight w:val="none"/>
        </w:rPr>
      </w:pPr>
    </w:p>
    <w:p w14:paraId="3EFD6769">
      <w:pPr>
        <w:keepNext/>
        <w:keepLines/>
        <w:adjustRightInd w:val="0"/>
        <w:snapToGrid w:val="0"/>
        <w:spacing w:before="280" w:after="290"/>
        <w:outlineLvl w:val="3"/>
        <w:rPr>
          <w:color w:val="auto"/>
          <w:sz w:val="16"/>
          <w:szCs w:val="21"/>
          <w:highlight w:val="none"/>
        </w:rPr>
      </w:pPr>
      <w:r>
        <w:rPr>
          <w:color w:val="auto"/>
          <w:szCs w:val="21"/>
          <w:highlight w:val="none"/>
        </w:rPr>
        <w:br w:type="page"/>
      </w:r>
    </w:p>
    <w:bookmarkEnd w:id="40"/>
    <w:bookmarkEnd w:id="41"/>
    <w:p w14:paraId="58CF795C">
      <w:pPr>
        <w:keepNext/>
        <w:keepLines/>
        <w:widowControl/>
        <w:spacing w:after="156" w:afterLines="50" w:line="413" w:lineRule="auto"/>
        <w:outlineLvl w:val="1"/>
        <w:rPr>
          <w:rFonts w:ascii="Times New Roman" w:hAnsi="Times New Roman"/>
          <w:b/>
          <w:bCs/>
          <w:color w:val="auto"/>
          <w:kern w:val="0"/>
          <w:sz w:val="32"/>
          <w:szCs w:val="32"/>
          <w:highlight w:val="none"/>
        </w:rPr>
      </w:pPr>
      <w:bookmarkStart w:id="43" w:name="_Hlk52290784"/>
      <w:r>
        <w:rPr>
          <w:rFonts w:hint="eastAsia" w:ascii="Times New Roman" w:hAnsi="Times New Roman"/>
          <w:b/>
          <w:bCs/>
          <w:color w:val="auto"/>
          <w:kern w:val="0"/>
          <w:sz w:val="32"/>
          <w:szCs w:val="32"/>
          <w:highlight w:val="none"/>
        </w:rPr>
        <w:t>五、技术部分</w:t>
      </w:r>
    </w:p>
    <w:p w14:paraId="5C14C2DA">
      <w:pPr>
        <w:keepNext/>
        <w:keepLines/>
        <w:adjustRightInd w:val="0"/>
        <w:snapToGrid w:val="0"/>
        <w:spacing w:before="280" w:after="290"/>
        <w:outlineLvl w:val="3"/>
        <w:rPr>
          <w:rFonts w:ascii="Times New Roman" w:hAnsi="Times New Roman"/>
          <w:b/>
          <w:bCs/>
          <w:color w:val="auto"/>
          <w:sz w:val="28"/>
          <w:szCs w:val="28"/>
          <w:highlight w:val="none"/>
        </w:rPr>
      </w:pPr>
      <w:r>
        <w:rPr>
          <w:rFonts w:hint="eastAsia" w:ascii="Times New Roman" w:hAnsi="Times New Roman"/>
          <w:b/>
          <w:bCs/>
          <w:color w:val="auto"/>
          <w:sz w:val="28"/>
          <w:szCs w:val="28"/>
          <w:highlight w:val="none"/>
        </w:rPr>
        <w:t>5.1</w:t>
      </w:r>
      <w:r>
        <w:rPr>
          <w:rFonts w:ascii="Times New Roman" w:hAnsi="Times New Roman"/>
          <w:b/>
          <w:bCs/>
          <w:color w:val="auto"/>
          <w:sz w:val="28"/>
          <w:szCs w:val="28"/>
          <w:highlight w:val="none"/>
        </w:rPr>
        <w:t xml:space="preserve"> </w:t>
      </w:r>
      <w:r>
        <w:rPr>
          <w:rFonts w:hint="eastAsia" w:ascii="Times New Roman" w:hAnsi="Times New Roman"/>
          <w:b/>
          <w:bCs/>
          <w:color w:val="auto"/>
          <w:sz w:val="28"/>
          <w:szCs w:val="28"/>
          <w:highlight w:val="none"/>
        </w:rPr>
        <w:t>技术条款响应表</w:t>
      </w:r>
    </w:p>
    <w:p w14:paraId="3C79DD1B">
      <w:pPr>
        <w:spacing w:line="360" w:lineRule="auto"/>
        <w:jc w:val="center"/>
        <w:rPr>
          <w:rFonts w:ascii="宋体"/>
          <w:b/>
          <w:color w:val="auto"/>
          <w:sz w:val="32"/>
          <w:highlight w:val="none"/>
        </w:rPr>
      </w:pPr>
      <w:r>
        <w:rPr>
          <w:rFonts w:hint="eastAsia" w:ascii="宋体"/>
          <w:b/>
          <w:color w:val="auto"/>
          <w:sz w:val="32"/>
          <w:highlight w:val="none"/>
        </w:rPr>
        <w:t>技术</w:t>
      </w:r>
      <w:r>
        <w:rPr>
          <w:rFonts w:hint="eastAsia" w:ascii="Times New Roman" w:hAnsi="Times New Roman"/>
          <w:b/>
          <w:bCs/>
          <w:color w:val="auto"/>
          <w:sz w:val="28"/>
          <w:szCs w:val="28"/>
          <w:highlight w:val="none"/>
        </w:rPr>
        <w:t>条款</w:t>
      </w:r>
      <w:r>
        <w:rPr>
          <w:rFonts w:hint="eastAsia" w:ascii="宋体"/>
          <w:b/>
          <w:color w:val="auto"/>
          <w:sz w:val="32"/>
          <w:highlight w:val="none"/>
        </w:rPr>
        <w:t>响应表</w:t>
      </w:r>
    </w:p>
    <w:p w14:paraId="001CA251">
      <w:pPr>
        <w:spacing w:line="360" w:lineRule="auto"/>
        <w:ind w:firstLine="420"/>
        <w:rPr>
          <w:color w:val="auto"/>
          <w:highlight w:val="none"/>
        </w:rPr>
      </w:pPr>
      <w:r>
        <w:rPr>
          <w:color w:val="auto"/>
          <w:highlight w:val="none"/>
        </w:rPr>
        <w:t>[</w:t>
      </w:r>
      <w:r>
        <w:rPr>
          <w:rFonts w:hint="eastAsia"/>
          <w:color w:val="auto"/>
          <w:highlight w:val="none"/>
        </w:rPr>
        <w:t>说明</w:t>
      </w:r>
      <w:r>
        <w:rPr>
          <w:color w:val="auto"/>
          <w:highlight w:val="none"/>
        </w:rPr>
        <w:t>]</w:t>
      </w:r>
      <w:r>
        <w:rPr>
          <w:rFonts w:hint="eastAsia"/>
          <w:b/>
          <w:color w:val="auto"/>
          <w:highlight w:val="none"/>
        </w:rPr>
        <w:t xml:space="preserve"> 投标人应根据其提供的服务，逐条对照招标文件《用户需求书》的内容要求填写：凡列出的“</w:t>
      </w:r>
      <w:r>
        <w:rPr>
          <w:rFonts w:hint="eastAsia"/>
          <w:color w:val="auto"/>
          <w:highlight w:val="none"/>
        </w:rPr>
        <w:t>★</w:t>
      </w:r>
      <w:r>
        <w:rPr>
          <w:rFonts w:hint="eastAsia"/>
          <w:b/>
          <w:color w:val="auto"/>
          <w:highlight w:val="none"/>
        </w:rPr>
        <w:t>”号条款，要求必须完全响应，投标人须在此表中逐一列明响应情况及简要内容，以便查对和</w:t>
      </w:r>
      <w:r>
        <w:rPr>
          <w:rFonts w:hint="eastAsia"/>
          <w:b/>
          <w:color w:val="auto"/>
          <w:highlight w:val="none"/>
          <w:lang w:eastAsia="zh-CN"/>
        </w:rPr>
        <w:t>评标</w:t>
      </w:r>
      <w:r>
        <w:rPr>
          <w:rFonts w:hint="eastAsia"/>
          <w:b/>
          <w:color w:val="auto"/>
          <w:highlight w:val="none"/>
        </w:rPr>
        <w:t>。“是否响应”列填“无偏离”或“正偏离”或“负偏离”，无论何种偏离均须在“实际响应的具体内容”栏内扼要说明偏离情况。对没有列出或者空白，视同完全响应。</w:t>
      </w:r>
    </w:p>
    <w:tbl>
      <w:tblPr>
        <w:tblStyle w:val="2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30" w:type="dxa"/>
          <w:bottom w:w="0" w:type="dxa"/>
          <w:right w:w="30" w:type="dxa"/>
        </w:tblCellMar>
      </w:tblPr>
      <w:tblGrid>
        <w:gridCol w:w="405"/>
        <w:gridCol w:w="1111"/>
        <w:gridCol w:w="3402"/>
        <w:gridCol w:w="992"/>
        <w:gridCol w:w="3414"/>
      </w:tblGrid>
      <w:tr w14:paraId="7BF49A3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tblHeader/>
          <w:jc w:val="center"/>
        </w:trPr>
        <w:tc>
          <w:tcPr>
            <w:tcW w:w="405" w:type="dxa"/>
            <w:vMerge w:val="restart"/>
            <w:vAlign w:val="center"/>
          </w:tcPr>
          <w:p w14:paraId="7A7692E3">
            <w:pPr>
              <w:rPr>
                <w:rFonts w:hint="eastAsia" w:ascii="宋体" w:hAnsi="宋体"/>
                <w:color w:val="auto"/>
                <w:szCs w:val="21"/>
                <w:highlight w:val="none"/>
              </w:rPr>
            </w:pPr>
            <w:r>
              <w:rPr>
                <w:rFonts w:hint="eastAsia" w:ascii="宋体" w:hAnsi="宋体"/>
                <w:color w:val="auto"/>
                <w:szCs w:val="21"/>
                <w:highlight w:val="none"/>
              </w:rPr>
              <w:t>序号</w:t>
            </w:r>
          </w:p>
        </w:tc>
        <w:tc>
          <w:tcPr>
            <w:tcW w:w="4513" w:type="dxa"/>
            <w:gridSpan w:val="2"/>
            <w:vAlign w:val="center"/>
          </w:tcPr>
          <w:p w14:paraId="6EFB18C8">
            <w:pPr>
              <w:jc w:val="center"/>
              <w:rPr>
                <w:rFonts w:hint="eastAsia" w:ascii="宋体" w:hAnsi="宋体"/>
                <w:color w:val="auto"/>
                <w:szCs w:val="21"/>
                <w:highlight w:val="none"/>
              </w:rPr>
            </w:pPr>
            <w:r>
              <w:rPr>
                <w:rFonts w:hint="eastAsia" w:ascii="宋体" w:hAnsi="宋体"/>
                <w:color w:val="auto"/>
                <w:szCs w:val="21"/>
                <w:highlight w:val="none"/>
              </w:rPr>
              <w:t>招标文件要求</w:t>
            </w:r>
          </w:p>
        </w:tc>
        <w:tc>
          <w:tcPr>
            <w:tcW w:w="4406" w:type="dxa"/>
            <w:gridSpan w:val="2"/>
            <w:vAlign w:val="center"/>
          </w:tcPr>
          <w:p w14:paraId="40900FDA">
            <w:pPr>
              <w:jc w:val="center"/>
              <w:rPr>
                <w:rFonts w:hint="eastAsia" w:ascii="宋体" w:hAnsi="宋体"/>
                <w:color w:val="auto"/>
                <w:szCs w:val="21"/>
                <w:highlight w:val="none"/>
              </w:rPr>
            </w:pPr>
            <w:r>
              <w:rPr>
                <w:rFonts w:hint="eastAsia" w:ascii="宋体" w:hAnsi="宋体"/>
                <w:color w:val="auto"/>
                <w:szCs w:val="21"/>
                <w:highlight w:val="none"/>
              </w:rPr>
              <w:t>投标文件内容</w:t>
            </w:r>
          </w:p>
        </w:tc>
      </w:tr>
      <w:tr w14:paraId="4D14A7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tblHeader/>
          <w:jc w:val="center"/>
        </w:trPr>
        <w:tc>
          <w:tcPr>
            <w:tcW w:w="405" w:type="dxa"/>
            <w:vMerge w:val="continue"/>
            <w:vAlign w:val="center"/>
          </w:tcPr>
          <w:p w14:paraId="041C30F4">
            <w:pPr>
              <w:spacing w:line="360" w:lineRule="auto"/>
              <w:rPr>
                <w:rFonts w:hint="eastAsia" w:ascii="宋体" w:hAnsi="宋体"/>
                <w:color w:val="auto"/>
                <w:szCs w:val="21"/>
                <w:highlight w:val="none"/>
              </w:rPr>
            </w:pPr>
          </w:p>
        </w:tc>
        <w:tc>
          <w:tcPr>
            <w:tcW w:w="1111" w:type="dxa"/>
            <w:vAlign w:val="center"/>
          </w:tcPr>
          <w:p w14:paraId="3F7C21C1">
            <w:pPr>
              <w:jc w:val="center"/>
              <w:rPr>
                <w:rFonts w:hint="eastAsia" w:ascii="宋体" w:hAnsi="宋体" w:cs="宋体"/>
                <w:color w:val="auto"/>
                <w:szCs w:val="21"/>
                <w:highlight w:val="none"/>
              </w:rPr>
            </w:pPr>
            <w:r>
              <w:rPr>
                <w:rFonts w:hint="eastAsia" w:ascii="宋体" w:hAnsi="宋体"/>
                <w:color w:val="auto"/>
                <w:szCs w:val="21"/>
                <w:highlight w:val="none"/>
              </w:rPr>
              <w:t>章节</w:t>
            </w:r>
          </w:p>
        </w:tc>
        <w:tc>
          <w:tcPr>
            <w:tcW w:w="3402" w:type="dxa"/>
            <w:vAlign w:val="center"/>
          </w:tcPr>
          <w:p w14:paraId="72C11DBB">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招标要求</w:t>
            </w:r>
          </w:p>
        </w:tc>
        <w:tc>
          <w:tcPr>
            <w:tcW w:w="992" w:type="dxa"/>
            <w:tcBorders>
              <w:bottom w:val="single" w:color="auto" w:sz="2" w:space="0"/>
            </w:tcBorders>
            <w:vAlign w:val="center"/>
          </w:tcPr>
          <w:p w14:paraId="20C56A2F">
            <w:pPr>
              <w:jc w:val="center"/>
              <w:rPr>
                <w:rFonts w:hint="eastAsia" w:ascii="宋体" w:hAnsi="宋体"/>
                <w:color w:val="auto"/>
                <w:szCs w:val="21"/>
                <w:highlight w:val="none"/>
              </w:rPr>
            </w:pPr>
            <w:r>
              <w:rPr>
                <w:rFonts w:hint="eastAsia" w:ascii="宋体" w:hAnsi="宋体"/>
                <w:color w:val="auto"/>
                <w:szCs w:val="21"/>
                <w:highlight w:val="none"/>
              </w:rPr>
              <w:t>是否响应</w:t>
            </w:r>
          </w:p>
        </w:tc>
        <w:tc>
          <w:tcPr>
            <w:tcW w:w="3414" w:type="dxa"/>
            <w:tcBorders>
              <w:bottom w:val="single" w:color="auto" w:sz="2" w:space="0"/>
            </w:tcBorders>
            <w:vAlign w:val="center"/>
          </w:tcPr>
          <w:p w14:paraId="2978090C">
            <w:pPr>
              <w:jc w:val="center"/>
              <w:rPr>
                <w:rFonts w:hint="eastAsia" w:ascii="宋体" w:hAnsi="宋体"/>
                <w:color w:val="auto"/>
                <w:szCs w:val="21"/>
                <w:highlight w:val="none"/>
              </w:rPr>
            </w:pPr>
            <w:r>
              <w:rPr>
                <w:rFonts w:hint="eastAsia" w:ascii="宋体" w:hAnsi="宋体"/>
                <w:color w:val="auto"/>
                <w:szCs w:val="21"/>
                <w:highlight w:val="none"/>
              </w:rPr>
              <w:t>实际响应的具体内容</w:t>
            </w:r>
          </w:p>
        </w:tc>
      </w:tr>
      <w:tr w14:paraId="68D665E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9324" w:type="dxa"/>
            <w:gridSpan w:val="5"/>
            <w:vAlign w:val="center"/>
          </w:tcPr>
          <w:p w14:paraId="2E1EE949">
            <w:pPr>
              <w:rPr>
                <w:rFonts w:hint="eastAsia" w:ascii="宋体" w:hAnsi="宋体"/>
                <w:b/>
                <w:color w:val="auto"/>
                <w:szCs w:val="21"/>
                <w:highlight w:val="none"/>
              </w:rPr>
            </w:pPr>
            <w:r>
              <w:rPr>
                <w:rFonts w:hint="eastAsia" w:ascii="宋体" w:hAnsi="宋体"/>
                <w:b/>
                <w:color w:val="auto"/>
                <w:szCs w:val="21"/>
                <w:highlight w:val="none"/>
              </w:rPr>
              <w:t>“</w:t>
            </w:r>
            <w:r>
              <w:rPr>
                <w:rFonts w:hint="eastAsia"/>
                <w:color w:val="auto"/>
                <w:highlight w:val="none"/>
              </w:rPr>
              <w:t>★</w:t>
            </w:r>
            <w:r>
              <w:rPr>
                <w:rFonts w:hint="eastAsia" w:ascii="宋体" w:hAnsi="宋体"/>
                <w:b/>
                <w:color w:val="auto"/>
                <w:szCs w:val="21"/>
                <w:highlight w:val="none"/>
              </w:rPr>
              <w:t>”号条款：</w:t>
            </w:r>
          </w:p>
        </w:tc>
      </w:tr>
      <w:tr w14:paraId="7814C5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4120379A">
            <w:pPr>
              <w:numPr>
                <w:ilvl w:val="0"/>
                <w:numId w:val="6"/>
              </w:numPr>
              <w:tabs>
                <w:tab w:val="left" w:pos="94"/>
              </w:tabs>
              <w:jc w:val="center"/>
              <w:rPr>
                <w:rFonts w:hint="eastAsia" w:ascii="宋体" w:hAnsi="宋体"/>
                <w:color w:val="auto"/>
                <w:sz w:val="18"/>
                <w:szCs w:val="18"/>
                <w:highlight w:val="none"/>
              </w:rPr>
            </w:pPr>
          </w:p>
        </w:tc>
        <w:tc>
          <w:tcPr>
            <w:tcW w:w="1111" w:type="dxa"/>
            <w:vAlign w:val="center"/>
          </w:tcPr>
          <w:p w14:paraId="70EFE880">
            <w:pPr>
              <w:jc w:val="center"/>
              <w:rPr>
                <w:rFonts w:hint="eastAsia" w:ascii="宋体" w:hAnsi="宋体"/>
                <w:b/>
                <w:color w:val="auto"/>
                <w:sz w:val="18"/>
                <w:szCs w:val="18"/>
                <w:highlight w:val="none"/>
              </w:rPr>
            </w:pPr>
          </w:p>
        </w:tc>
        <w:tc>
          <w:tcPr>
            <w:tcW w:w="3402" w:type="dxa"/>
            <w:vAlign w:val="center"/>
          </w:tcPr>
          <w:p w14:paraId="671E6811">
            <w:pPr>
              <w:tabs>
                <w:tab w:val="left" w:pos="420"/>
              </w:tabs>
              <w:rPr>
                <w:rFonts w:hint="eastAsia" w:ascii="宋体" w:hAnsi="宋体"/>
                <w:color w:val="auto"/>
                <w:sz w:val="18"/>
                <w:szCs w:val="18"/>
                <w:highlight w:val="none"/>
              </w:rPr>
            </w:pPr>
          </w:p>
        </w:tc>
        <w:tc>
          <w:tcPr>
            <w:tcW w:w="992" w:type="dxa"/>
            <w:vAlign w:val="center"/>
          </w:tcPr>
          <w:p w14:paraId="3AFFBA70">
            <w:pPr>
              <w:jc w:val="center"/>
              <w:rPr>
                <w:rFonts w:hint="eastAsia" w:ascii="宋体" w:hAnsi="宋体"/>
                <w:color w:val="auto"/>
                <w:szCs w:val="21"/>
                <w:highlight w:val="none"/>
              </w:rPr>
            </w:pPr>
          </w:p>
        </w:tc>
        <w:tc>
          <w:tcPr>
            <w:tcW w:w="3414" w:type="dxa"/>
            <w:vAlign w:val="center"/>
          </w:tcPr>
          <w:p w14:paraId="447E3202">
            <w:pPr>
              <w:jc w:val="center"/>
              <w:rPr>
                <w:rFonts w:hint="eastAsia" w:ascii="宋体" w:hAnsi="宋体"/>
                <w:color w:val="auto"/>
                <w:szCs w:val="21"/>
                <w:highlight w:val="none"/>
              </w:rPr>
            </w:pPr>
          </w:p>
        </w:tc>
      </w:tr>
      <w:tr w14:paraId="6F1EF3C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9324" w:type="dxa"/>
            <w:gridSpan w:val="5"/>
            <w:vAlign w:val="center"/>
          </w:tcPr>
          <w:p w14:paraId="45BD1840">
            <w:pPr>
              <w:rPr>
                <w:rFonts w:hint="eastAsia" w:ascii="宋体" w:hAnsi="宋体"/>
                <w:color w:val="auto"/>
                <w:szCs w:val="21"/>
                <w:highlight w:val="none"/>
              </w:rPr>
            </w:pPr>
            <w:r>
              <w:rPr>
                <w:rFonts w:hint="eastAsia" w:ascii="宋体" w:hAnsi="宋体"/>
                <w:b/>
                <w:color w:val="auto"/>
                <w:szCs w:val="21"/>
                <w:highlight w:val="none"/>
              </w:rPr>
              <w:t>“</w:t>
            </w:r>
            <w:r>
              <w:rPr>
                <w:rFonts w:hint="eastAsia" w:ascii="宋体" w:hAnsi="宋体"/>
                <w:b/>
                <w:bCs/>
                <w:color w:val="auto"/>
                <w:szCs w:val="24"/>
                <w:highlight w:val="none"/>
              </w:rPr>
              <w:t>▲</w:t>
            </w:r>
            <w:r>
              <w:rPr>
                <w:rFonts w:hint="eastAsia" w:ascii="宋体" w:hAnsi="宋体"/>
                <w:b/>
                <w:color w:val="auto"/>
                <w:szCs w:val="21"/>
                <w:highlight w:val="none"/>
              </w:rPr>
              <w:t>”号条款：</w:t>
            </w:r>
          </w:p>
        </w:tc>
      </w:tr>
      <w:tr w14:paraId="3DA405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1C022488">
            <w:pPr>
              <w:tabs>
                <w:tab w:val="left" w:pos="94"/>
              </w:tabs>
              <w:jc w:val="center"/>
              <w:rPr>
                <w:rFonts w:hint="eastAsia" w:ascii="宋体" w:hAnsi="宋体"/>
                <w:color w:val="auto"/>
                <w:sz w:val="18"/>
                <w:szCs w:val="18"/>
                <w:highlight w:val="none"/>
              </w:rPr>
            </w:pPr>
            <w:r>
              <w:rPr>
                <w:rFonts w:hint="eastAsia" w:ascii="宋体" w:hAnsi="宋体"/>
                <w:color w:val="auto"/>
                <w:sz w:val="18"/>
                <w:szCs w:val="18"/>
                <w:highlight w:val="none"/>
              </w:rPr>
              <w:t>1</w:t>
            </w:r>
          </w:p>
        </w:tc>
        <w:tc>
          <w:tcPr>
            <w:tcW w:w="1111" w:type="dxa"/>
            <w:vAlign w:val="center"/>
          </w:tcPr>
          <w:p w14:paraId="16468C7F">
            <w:pPr>
              <w:rPr>
                <w:rFonts w:hint="eastAsia" w:ascii="宋体" w:hAnsi="宋体"/>
                <w:b/>
                <w:color w:val="auto"/>
                <w:sz w:val="18"/>
                <w:szCs w:val="18"/>
                <w:highlight w:val="none"/>
              </w:rPr>
            </w:pPr>
          </w:p>
        </w:tc>
        <w:tc>
          <w:tcPr>
            <w:tcW w:w="3402" w:type="dxa"/>
            <w:vAlign w:val="center"/>
          </w:tcPr>
          <w:p w14:paraId="1F03AB74">
            <w:pPr>
              <w:tabs>
                <w:tab w:val="left" w:pos="420"/>
              </w:tabs>
              <w:rPr>
                <w:rFonts w:hint="eastAsia" w:ascii="宋体" w:hAnsi="宋体"/>
                <w:color w:val="auto"/>
                <w:sz w:val="18"/>
                <w:szCs w:val="18"/>
                <w:highlight w:val="none"/>
              </w:rPr>
            </w:pPr>
            <w:r>
              <w:rPr>
                <w:rFonts w:hint="eastAsia" w:ascii="宋体" w:hAnsi="宋体"/>
                <w:color w:val="auto"/>
                <w:sz w:val="18"/>
                <w:szCs w:val="18"/>
                <w:highlight w:val="none"/>
              </w:rPr>
              <w:t>无</w:t>
            </w:r>
          </w:p>
        </w:tc>
        <w:tc>
          <w:tcPr>
            <w:tcW w:w="992" w:type="dxa"/>
            <w:vAlign w:val="center"/>
          </w:tcPr>
          <w:p w14:paraId="1E320777">
            <w:pPr>
              <w:jc w:val="center"/>
              <w:rPr>
                <w:rFonts w:hint="eastAsia" w:ascii="宋体" w:hAnsi="宋体"/>
                <w:color w:val="auto"/>
                <w:szCs w:val="21"/>
                <w:highlight w:val="none"/>
              </w:rPr>
            </w:pPr>
          </w:p>
        </w:tc>
        <w:tc>
          <w:tcPr>
            <w:tcW w:w="3414" w:type="dxa"/>
            <w:vAlign w:val="center"/>
          </w:tcPr>
          <w:p w14:paraId="009399DC">
            <w:pPr>
              <w:jc w:val="center"/>
              <w:rPr>
                <w:rFonts w:hint="eastAsia" w:ascii="宋体" w:hAnsi="宋体"/>
                <w:color w:val="auto"/>
                <w:szCs w:val="21"/>
                <w:highlight w:val="none"/>
              </w:rPr>
            </w:pPr>
          </w:p>
        </w:tc>
      </w:tr>
      <w:tr w14:paraId="131B400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9324" w:type="dxa"/>
            <w:gridSpan w:val="5"/>
            <w:vAlign w:val="center"/>
          </w:tcPr>
          <w:p w14:paraId="330577F3">
            <w:pPr>
              <w:rPr>
                <w:rFonts w:hint="eastAsia" w:ascii="宋体" w:hAnsi="宋体"/>
                <w:b/>
                <w:color w:val="auto"/>
                <w:szCs w:val="21"/>
                <w:highlight w:val="none"/>
              </w:rPr>
            </w:pPr>
            <w:r>
              <w:rPr>
                <w:rFonts w:hint="eastAsia" w:ascii="宋体" w:hAnsi="宋体"/>
                <w:b/>
                <w:color w:val="auto"/>
                <w:szCs w:val="21"/>
                <w:highlight w:val="none"/>
              </w:rPr>
              <w:t>非“</w:t>
            </w:r>
            <w:r>
              <w:rPr>
                <w:rFonts w:hint="eastAsia"/>
                <w:color w:val="auto"/>
                <w:highlight w:val="none"/>
              </w:rPr>
              <w:t>★</w:t>
            </w:r>
            <w:r>
              <w:rPr>
                <w:rFonts w:hint="eastAsia" w:ascii="宋体" w:hAnsi="宋体"/>
                <w:b/>
                <w:color w:val="auto"/>
                <w:szCs w:val="21"/>
                <w:highlight w:val="none"/>
              </w:rPr>
              <w:t>”、“</w:t>
            </w:r>
            <w:r>
              <w:rPr>
                <w:rFonts w:hint="eastAsia" w:ascii="宋体" w:hAnsi="宋体"/>
                <w:b/>
                <w:bCs/>
                <w:color w:val="auto"/>
                <w:szCs w:val="24"/>
                <w:highlight w:val="none"/>
              </w:rPr>
              <w:t>▲</w:t>
            </w:r>
            <w:r>
              <w:rPr>
                <w:rFonts w:hint="eastAsia" w:ascii="宋体" w:hAnsi="宋体"/>
                <w:b/>
                <w:color w:val="auto"/>
                <w:szCs w:val="21"/>
                <w:highlight w:val="none"/>
              </w:rPr>
              <w:t>”号条款：</w:t>
            </w:r>
          </w:p>
        </w:tc>
      </w:tr>
      <w:tr w14:paraId="228C1B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154CC836">
            <w:pPr>
              <w:jc w:val="center"/>
              <w:rPr>
                <w:rFonts w:hint="eastAsia" w:ascii="宋体" w:hAnsi="宋体"/>
                <w:color w:val="auto"/>
                <w:sz w:val="18"/>
                <w:szCs w:val="18"/>
                <w:highlight w:val="none"/>
              </w:rPr>
            </w:pPr>
            <w:r>
              <w:rPr>
                <w:rFonts w:hint="eastAsia" w:ascii="宋体" w:hAnsi="宋体"/>
                <w:color w:val="auto"/>
                <w:sz w:val="18"/>
                <w:szCs w:val="18"/>
                <w:highlight w:val="none"/>
              </w:rPr>
              <w:t>1</w:t>
            </w:r>
          </w:p>
        </w:tc>
        <w:tc>
          <w:tcPr>
            <w:tcW w:w="1111" w:type="dxa"/>
            <w:vAlign w:val="center"/>
          </w:tcPr>
          <w:p w14:paraId="5E83E635">
            <w:pPr>
              <w:jc w:val="center"/>
              <w:rPr>
                <w:rFonts w:hint="eastAsia" w:ascii="宋体" w:hAnsi="宋体"/>
                <w:color w:val="auto"/>
                <w:sz w:val="18"/>
                <w:szCs w:val="18"/>
                <w:highlight w:val="none"/>
              </w:rPr>
            </w:pPr>
          </w:p>
        </w:tc>
        <w:tc>
          <w:tcPr>
            <w:tcW w:w="3402" w:type="dxa"/>
            <w:vAlign w:val="center"/>
          </w:tcPr>
          <w:p w14:paraId="0321A270">
            <w:pPr>
              <w:rPr>
                <w:rFonts w:hint="eastAsia" w:ascii="宋体" w:hAnsi="宋体"/>
                <w:color w:val="auto"/>
                <w:sz w:val="18"/>
                <w:szCs w:val="18"/>
                <w:highlight w:val="none"/>
              </w:rPr>
            </w:pPr>
          </w:p>
        </w:tc>
        <w:tc>
          <w:tcPr>
            <w:tcW w:w="992" w:type="dxa"/>
            <w:vAlign w:val="center"/>
          </w:tcPr>
          <w:p w14:paraId="38B79740">
            <w:pPr>
              <w:jc w:val="center"/>
              <w:rPr>
                <w:rFonts w:hint="eastAsia" w:ascii="宋体" w:hAnsi="宋体"/>
                <w:color w:val="auto"/>
                <w:szCs w:val="21"/>
                <w:highlight w:val="none"/>
              </w:rPr>
            </w:pPr>
          </w:p>
        </w:tc>
        <w:tc>
          <w:tcPr>
            <w:tcW w:w="3414" w:type="dxa"/>
            <w:vAlign w:val="center"/>
          </w:tcPr>
          <w:p w14:paraId="0F5B6463">
            <w:pPr>
              <w:jc w:val="center"/>
              <w:rPr>
                <w:rFonts w:hint="eastAsia" w:ascii="宋体" w:hAnsi="宋体"/>
                <w:color w:val="auto"/>
                <w:szCs w:val="21"/>
                <w:highlight w:val="none"/>
              </w:rPr>
            </w:pPr>
          </w:p>
        </w:tc>
      </w:tr>
      <w:tr w14:paraId="1A7F76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30" w:type="dxa"/>
            <w:bottom w:w="0" w:type="dxa"/>
            <w:right w:w="30" w:type="dxa"/>
          </w:tblCellMar>
        </w:tblPrEx>
        <w:trPr>
          <w:cantSplit/>
          <w:trHeight w:val="454" w:hRule="atLeast"/>
          <w:jc w:val="center"/>
        </w:trPr>
        <w:tc>
          <w:tcPr>
            <w:tcW w:w="405" w:type="dxa"/>
            <w:vAlign w:val="center"/>
          </w:tcPr>
          <w:p w14:paraId="27008748">
            <w:pPr>
              <w:jc w:val="center"/>
              <w:rPr>
                <w:rFonts w:hint="eastAsia" w:ascii="宋体" w:hAnsi="宋体"/>
                <w:color w:val="auto"/>
                <w:sz w:val="18"/>
                <w:szCs w:val="18"/>
                <w:highlight w:val="none"/>
              </w:rPr>
            </w:pPr>
            <w:r>
              <w:rPr>
                <w:rFonts w:hint="eastAsia" w:ascii="宋体" w:hAnsi="宋体"/>
                <w:color w:val="auto"/>
                <w:sz w:val="18"/>
                <w:szCs w:val="18"/>
                <w:highlight w:val="none"/>
              </w:rPr>
              <w:t>2</w:t>
            </w:r>
          </w:p>
        </w:tc>
        <w:tc>
          <w:tcPr>
            <w:tcW w:w="1111" w:type="dxa"/>
            <w:vAlign w:val="center"/>
          </w:tcPr>
          <w:p w14:paraId="74BCC78A">
            <w:pPr>
              <w:jc w:val="center"/>
              <w:rPr>
                <w:rFonts w:hint="eastAsia" w:ascii="宋体" w:hAnsi="宋体"/>
                <w:color w:val="auto"/>
                <w:sz w:val="18"/>
                <w:szCs w:val="18"/>
                <w:highlight w:val="none"/>
              </w:rPr>
            </w:pPr>
          </w:p>
        </w:tc>
        <w:tc>
          <w:tcPr>
            <w:tcW w:w="3402" w:type="dxa"/>
            <w:vAlign w:val="center"/>
          </w:tcPr>
          <w:p w14:paraId="5D753960">
            <w:pPr>
              <w:rPr>
                <w:rFonts w:hint="eastAsia" w:ascii="宋体" w:hAnsi="宋体"/>
                <w:color w:val="auto"/>
                <w:sz w:val="18"/>
                <w:szCs w:val="18"/>
                <w:highlight w:val="none"/>
              </w:rPr>
            </w:pPr>
          </w:p>
        </w:tc>
        <w:tc>
          <w:tcPr>
            <w:tcW w:w="992" w:type="dxa"/>
            <w:vAlign w:val="center"/>
          </w:tcPr>
          <w:p w14:paraId="7E28C183">
            <w:pPr>
              <w:jc w:val="center"/>
              <w:rPr>
                <w:rFonts w:hint="eastAsia" w:ascii="宋体" w:hAnsi="宋体"/>
                <w:color w:val="auto"/>
                <w:szCs w:val="21"/>
                <w:highlight w:val="none"/>
              </w:rPr>
            </w:pPr>
          </w:p>
        </w:tc>
        <w:tc>
          <w:tcPr>
            <w:tcW w:w="3414" w:type="dxa"/>
            <w:vAlign w:val="center"/>
          </w:tcPr>
          <w:p w14:paraId="204DF374">
            <w:pPr>
              <w:jc w:val="center"/>
              <w:rPr>
                <w:rFonts w:hint="eastAsia" w:ascii="宋体" w:hAnsi="宋体"/>
                <w:color w:val="auto"/>
                <w:szCs w:val="21"/>
                <w:highlight w:val="none"/>
              </w:rPr>
            </w:pPr>
          </w:p>
        </w:tc>
      </w:tr>
    </w:tbl>
    <w:p w14:paraId="5752A150">
      <w:pPr>
        <w:ind w:firstLine="420" w:firstLineChars="200"/>
        <w:rPr>
          <w:rFonts w:hint="eastAsia" w:ascii="宋体" w:hAnsi="宋体"/>
          <w:color w:val="auto"/>
          <w:szCs w:val="21"/>
          <w:highlight w:val="none"/>
          <w:lang w:val="en-GB"/>
        </w:rPr>
      </w:pPr>
      <w:r>
        <w:rPr>
          <w:rFonts w:hint="eastAsia" w:ascii="宋体"/>
          <w:color w:val="auto"/>
          <w:highlight w:val="none"/>
        </w:rPr>
        <w:t>注：1、</w:t>
      </w:r>
      <w:r>
        <w:rPr>
          <w:rFonts w:hint="eastAsia" w:ascii="宋体" w:hAnsi="宋体"/>
          <w:color w:val="auto"/>
          <w:szCs w:val="21"/>
          <w:highlight w:val="none"/>
          <w:lang w:val="en-GB"/>
        </w:rPr>
        <w:t>表内容必须与投标文件中所介绍的内容一致；</w:t>
      </w:r>
      <w:r>
        <w:rPr>
          <w:rFonts w:hint="eastAsia"/>
          <w:b/>
          <w:color w:val="auto"/>
          <w:szCs w:val="21"/>
          <w:highlight w:val="none"/>
        </w:rPr>
        <w:t>对没有列出或者空白，视为没有偏差。</w:t>
      </w:r>
    </w:p>
    <w:p w14:paraId="77C786F9">
      <w:pPr>
        <w:ind w:left="1029" w:leftChars="190" w:hanging="630" w:hangingChars="300"/>
        <w:rPr>
          <w:rFonts w:hint="eastAsia" w:ascii="宋体" w:hAnsi="宋体"/>
          <w:color w:val="auto"/>
          <w:szCs w:val="21"/>
          <w:highlight w:val="none"/>
        </w:rPr>
      </w:pPr>
      <w:r>
        <w:rPr>
          <w:rFonts w:hint="eastAsia" w:ascii="宋体" w:hAnsi="宋体"/>
          <w:color w:val="auto"/>
          <w:szCs w:val="21"/>
          <w:highlight w:val="none"/>
        </w:rPr>
        <w:t xml:space="preserve">    2、</w:t>
      </w:r>
      <w:r>
        <w:rPr>
          <w:rFonts w:hint="eastAsia"/>
          <w:color w:val="auto"/>
          <w:szCs w:val="21"/>
          <w:highlight w:val="none"/>
        </w:rPr>
        <w:t>投标人响应招标需求应具体、明确，含糊不清、不确切或伪造、变造证明材料的，按照不完全响应或者完全不响应处理。构成提供虚假材料的，移送监管部门查处。</w:t>
      </w:r>
    </w:p>
    <w:p w14:paraId="062B1125">
      <w:pPr>
        <w:ind w:firstLine="840" w:firstLineChars="400"/>
        <w:rPr>
          <w:rFonts w:ascii="宋体"/>
          <w:color w:val="auto"/>
          <w:highlight w:val="none"/>
        </w:rPr>
      </w:pPr>
      <w:r>
        <w:rPr>
          <w:rFonts w:hint="eastAsia" w:ascii="宋体"/>
          <w:color w:val="auto"/>
          <w:highlight w:val="none"/>
        </w:rPr>
        <w:t>3、如投标人差异内容较多可另附页说明。</w:t>
      </w:r>
      <w:bookmarkStart w:id="44" w:name="_Hlt10523642"/>
      <w:bookmarkEnd w:id="44"/>
    </w:p>
    <w:p w14:paraId="5029C2CF">
      <w:pPr>
        <w:rPr>
          <w:color w:val="auto"/>
          <w:szCs w:val="21"/>
          <w:highlight w:val="none"/>
          <w:lang w:val="en-GB"/>
        </w:rPr>
      </w:pPr>
    </w:p>
    <w:p w14:paraId="4BC5D43F">
      <w:pPr>
        <w:rPr>
          <w:color w:val="auto"/>
          <w:szCs w:val="21"/>
          <w:highlight w:val="none"/>
          <w:lang w:val="en-GB"/>
        </w:rPr>
      </w:pPr>
    </w:p>
    <w:p w14:paraId="5C848C30">
      <w:pPr>
        <w:adjustRightInd w:val="0"/>
        <w:snapToGrid w:val="0"/>
        <w:spacing w:line="300" w:lineRule="auto"/>
        <w:jc w:val="left"/>
        <w:rPr>
          <w:color w:val="auto"/>
          <w:szCs w:val="21"/>
          <w:highlight w:val="none"/>
          <w:u w:val="single"/>
        </w:rPr>
      </w:pPr>
      <w:r>
        <w:rPr>
          <w:rFonts w:hint="eastAsia"/>
          <w:color w:val="auto"/>
          <w:szCs w:val="21"/>
          <w:highlight w:val="none"/>
        </w:rPr>
        <w:t>投标人名称：____________________</w:t>
      </w:r>
    </w:p>
    <w:p w14:paraId="348624A2">
      <w:pPr>
        <w:spacing w:line="360" w:lineRule="auto"/>
        <w:jc w:val="left"/>
        <w:rPr>
          <w:rFonts w:hint="eastAsia" w:ascii="宋体" w:hAnsi="宋体"/>
          <w:color w:val="auto"/>
          <w:szCs w:val="21"/>
          <w:highlight w:val="none"/>
          <w:lang w:val="en-GB"/>
        </w:rPr>
      </w:pPr>
      <w:r>
        <w:rPr>
          <w:rFonts w:hint="eastAsia"/>
          <w:color w:val="auto"/>
          <w:szCs w:val="21"/>
          <w:highlight w:val="none"/>
        </w:rPr>
        <w:t>日期：   年   月   日</w:t>
      </w:r>
    </w:p>
    <w:p w14:paraId="3A6449D2">
      <w:pPr>
        <w:rPr>
          <w:color w:val="auto"/>
          <w:szCs w:val="21"/>
          <w:highlight w:val="none"/>
        </w:rPr>
      </w:pPr>
    </w:p>
    <w:p w14:paraId="5DEF86D6">
      <w:pPr>
        <w:spacing w:after="120" w:line="360" w:lineRule="exact"/>
        <w:jc w:val="right"/>
        <w:rPr>
          <w:color w:val="auto"/>
          <w:szCs w:val="21"/>
          <w:highlight w:val="none"/>
        </w:rPr>
      </w:pPr>
    </w:p>
    <w:p w14:paraId="276E7692">
      <w:pPr>
        <w:keepNext/>
        <w:keepLines/>
        <w:adjustRightInd w:val="0"/>
        <w:snapToGrid w:val="0"/>
        <w:spacing w:before="280" w:after="290"/>
        <w:outlineLvl w:val="3"/>
        <w:rPr>
          <w:rFonts w:ascii="Times New Roman" w:hAnsi="Times New Roman"/>
          <w:b/>
          <w:bCs/>
          <w:color w:val="auto"/>
          <w:sz w:val="28"/>
          <w:szCs w:val="28"/>
          <w:highlight w:val="none"/>
        </w:rPr>
      </w:pPr>
      <w:r>
        <w:rPr>
          <w:color w:val="auto"/>
          <w:szCs w:val="21"/>
          <w:highlight w:val="none"/>
        </w:rPr>
        <w:br w:type="page"/>
      </w:r>
      <w:r>
        <w:rPr>
          <w:rFonts w:hint="eastAsia" w:ascii="Times New Roman" w:hAnsi="Times New Roman"/>
          <w:b/>
          <w:bCs/>
          <w:color w:val="auto"/>
          <w:sz w:val="28"/>
          <w:szCs w:val="28"/>
          <w:highlight w:val="none"/>
        </w:rPr>
        <w:t>5.2</w:t>
      </w:r>
      <w:r>
        <w:rPr>
          <w:rFonts w:ascii="Times New Roman" w:hAnsi="Times New Roman"/>
          <w:b/>
          <w:bCs/>
          <w:color w:val="auto"/>
          <w:sz w:val="28"/>
          <w:szCs w:val="28"/>
          <w:highlight w:val="none"/>
        </w:rPr>
        <w:t xml:space="preserve"> </w:t>
      </w:r>
      <w:r>
        <w:rPr>
          <w:rFonts w:hint="eastAsia" w:ascii="Times New Roman" w:hAnsi="Times New Roman"/>
          <w:b/>
          <w:bCs/>
          <w:color w:val="auto"/>
          <w:sz w:val="28"/>
          <w:szCs w:val="28"/>
          <w:highlight w:val="none"/>
        </w:rPr>
        <w:t>技术方案</w:t>
      </w:r>
    </w:p>
    <w:p w14:paraId="42BCA25A">
      <w:pPr>
        <w:spacing w:line="360" w:lineRule="auto"/>
        <w:ind w:firstLine="525" w:firstLineChars="250"/>
        <w:rPr>
          <w:color w:val="auto"/>
          <w:szCs w:val="21"/>
          <w:highlight w:val="none"/>
        </w:rPr>
      </w:pPr>
      <w:r>
        <w:rPr>
          <w:rFonts w:hint="eastAsia"/>
          <w:color w:val="auto"/>
          <w:szCs w:val="21"/>
          <w:highlight w:val="none"/>
        </w:rPr>
        <w:t>技术方案设计必须科学合理、真实可行，能充分体现出自身技术和专业优势。其要点和主要内容为：</w:t>
      </w:r>
    </w:p>
    <w:p w14:paraId="360532B2">
      <w:pPr>
        <w:autoSpaceDE w:val="0"/>
        <w:autoSpaceDN w:val="0"/>
        <w:adjustRightInd w:val="0"/>
        <w:spacing w:line="360" w:lineRule="auto"/>
        <w:ind w:firstLine="422" w:firstLineChars="200"/>
        <w:jc w:val="left"/>
        <w:rPr>
          <w:rFonts w:ascii="宋体" w:hAnsi="Times New Roman"/>
          <w:b/>
          <w:color w:val="auto"/>
          <w:kern w:val="0"/>
          <w:szCs w:val="20"/>
          <w:highlight w:val="none"/>
        </w:rPr>
      </w:pPr>
      <w:r>
        <w:rPr>
          <w:rFonts w:hint="eastAsia" w:ascii="宋体" w:hAnsi="Times New Roman"/>
          <w:b/>
          <w:color w:val="auto"/>
          <w:kern w:val="0"/>
          <w:szCs w:val="20"/>
          <w:highlight w:val="none"/>
        </w:rPr>
        <w:t>1、生产计划与工期保障；</w:t>
      </w:r>
    </w:p>
    <w:p w14:paraId="43001234">
      <w:pPr>
        <w:autoSpaceDE w:val="0"/>
        <w:autoSpaceDN w:val="0"/>
        <w:adjustRightInd w:val="0"/>
        <w:spacing w:line="360" w:lineRule="auto"/>
        <w:ind w:firstLine="422" w:firstLineChars="200"/>
        <w:jc w:val="left"/>
        <w:rPr>
          <w:rFonts w:ascii="宋体" w:hAnsi="Times New Roman"/>
          <w:b/>
          <w:color w:val="auto"/>
          <w:kern w:val="0"/>
          <w:szCs w:val="20"/>
          <w:highlight w:val="none"/>
        </w:rPr>
      </w:pPr>
      <w:r>
        <w:rPr>
          <w:rFonts w:hint="eastAsia" w:ascii="宋体" w:hAnsi="Times New Roman"/>
          <w:b/>
          <w:color w:val="auto"/>
          <w:kern w:val="0"/>
          <w:szCs w:val="20"/>
          <w:highlight w:val="none"/>
        </w:rPr>
        <w:t>2、质量控制体系与措施；</w:t>
      </w:r>
    </w:p>
    <w:p w14:paraId="3038FF77">
      <w:pPr>
        <w:autoSpaceDE w:val="0"/>
        <w:autoSpaceDN w:val="0"/>
        <w:adjustRightInd w:val="0"/>
        <w:spacing w:line="360" w:lineRule="auto"/>
        <w:ind w:firstLine="422" w:firstLineChars="200"/>
        <w:jc w:val="left"/>
        <w:rPr>
          <w:rFonts w:ascii="宋体" w:hAnsi="Times New Roman"/>
          <w:b/>
          <w:color w:val="auto"/>
          <w:kern w:val="0"/>
          <w:szCs w:val="20"/>
          <w:highlight w:val="none"/>
        </w:rPr>
      </w:pPr>
      <w:r>
        <w:rPr>
          <w:rFonts w:hint="eastAsia" w:ascii="宋体" w:hAnsi="Times New Roman"/>
          <w:b/>
          <w:color w:val="auto"/>
          <w:kern w:val="0"/>
          <w:szCs w:val="20"/>
          <w:highlight w:val="none"/>
        </w:rPr>
        <w:t>3、应急预案与风险控制；</w:t>
      </w:r>
    </w:p>
    <w:p w14:paraId="425E3754">
      <w:pPr>
        <w:autoSpaceDE w:val="0"/>
        <w:autoSpaceDN w:val="0"/>
        <w:adjustRightInd w:val="0"/>
        <w:spacing w:line="360" w:lineRule="auto"/>
        <w:ind w:firstLine="422" w:firstLineChars="200"/>
        <w:jc w:val="left"/>
        <w:rPr>
          <w:rFonts w:ascii="宋体" w:hAnsi="Times New Roman"/>
          <w:b/>
          <w:color w:val="auto"/>
          <w:kern w:val="0"/>
          <w:szCs w:val="20"/>
          <w:highlight w:val="none"/>
        </w:rPr>
      </w:pPr>
      <w:r>
        <w:rPr>
          <w:rFonts w:hint="eastAsia" w:ascii="宋体" w:hAnsi="Times New Roman"/>
          <w:b/>
          <w:color w:val="auto"/>
          <w:kern w:val="0"/>
          <w:szCs w:val="20"/>
          <w:highlight w:val="none"/>
        </w:rPr>
        <w:t>4、售后服务；</w:t>
      </w:r>
    </w:p>
    <w:p w14:paraId="1C02B95C">
      <w:pPr>
        <w:autoSpaceDE w:val="0"/>
        <w:autoSpaceDN w:val="0"/>
        <w:adjustRightInd w:val="0"/>
        <w:spacing w:line="360" w:lineRule="auto"/>
        <w:ind w:firstLine="422" w:firstLineChars="200"/>
        <w:jc w:val="left"/>
        <w:rPr>
          <w:rFonts w:hint="eastAsia" w:ascii="宋体" w:hAnsi="宋体"/>
          <w:color w:val="auto"/>
          <w:szCs w:val="21"/>
          <w:highlight w:val="none"/>
        </w:rPr>
      </w:pPr>
      <w:r>
        <w:rPr>
          <w:rFonts w:hint="eastAsia" w:ascii="宋体" w:hAnsi="Times New Roman"/>
          <w:b/>
          <w:color w:val="auto"/>
          <w:kern w:val="0"/>
          <w:szCs w:val="20"/>
          <w:highlight w:val="none"/>
        </w:rPr>
        <w:t>5、投标人认为必要说明的其他内容。</w:t>
      </w:r>
    </w:p>
    <w:p w14:paraId="700E3DFE">
      <w:pPr>
        <w:adjustRightInd w:val="0"/>
        <w:snapToGrid w:val="0"/>
        <w:spacing w:line="360" w:lineRule="auto"/>
        <w:rPr>
          <w:color w:val="auto"/>
          <w:szCs w:val="21"/>
          <w:highlight w:val="none"/>
        </w:rPr>
      </w:pPr>
    </w:p>
    <w:p w14:paraId="6CF5614A">
      <w:pPr>
        <w:adjustRightInd w:val="0"/>
        <w:snapToGrid w:val="0"/>
        <w:spacing w:line="360" w:lineRule="auto"/>
        <w:rPr>
          <w:color w:val="auto"/>
          <w:szCs w:val="21"/>
          <w:highlight w:val="none"/>
        </w:rPr>
      </w:pPr>
    </w:p>
    <w:p w14:paraId="200C0830">
      <w:pPr>
        <w:adjustRightInd w:val="0"/>
        <w:snapToGrid w:val="0"/>
        <w:spacing w:line="300" w:lineRule="auto"/>
        <w:jc w:val="left"/>
        <w:rPr>
          <w:color w:val="auto"/>
          <w:szCs w:val="21"/>
          <w:highlight w:val="none"/>
          <w:u w:val="single"/>
        </w:rPr>
      </w:pPr>
      <w:r>
        <w:rPr>
          <w:rFonts w:hint="eastAsia"/>
          <w:color w:val="auto"/>
          <w:szCs w:val="21"/>
          <w:highlight w:val="none"/>
        </w:rPr>
        <w:t>投标人名称：</w:t>
      </w:r>
      <w:r>
        <w:rPr>
          <w:color w:val="auto"/>
          <w:szCs w:val="21"/>
          <w:highlight w:val="none"/>
          <w:u w:val="single"/>
        </w:rPr>
        <w:t>____________________</w:t>
      </w:r>
    </w:p>
    <w:p w14:paraId="66EDC5FD">
      <w:pPr>
        <w:spacing w:after="120" w:line="360" w:lineRule="exact"/>
        <w:jc w:val="left"/>
        <w:rPr>
          <w:color w:val="auto"/>
          <w:szCs w:val="21"/>
          <w:highlight w:val="none"/>
        </w:rPr>
      </w:pPr>
      <w:r>
        <w:rPr>
          <w:rFonts w:hint="eastAsia"/>
          <w:color w:val="auto"/>
          <w:szCs w:val="21"/>
          <w:highlight w:val="none"/>
        </w:rPr>
        <w:t>日期：   年   月   日</w:t>
      </w:r>
    </w:p>
    <w:bookmarkEnd w:id="43"/>
    <w:p w14:paraId="0560A7B9">
      <w:pPr>
        <w:adjustRightInd w:val="0"/>
        <w:snapToGrid w:val="0"/>
        <w:spacing w:line="360" w:lineRule="auto"/>
        <w:rPr>
          <w:color w:val="auto"/>
          <w:szCs w:val="21"/>
          <w:highlight w:val="none"/>
        </w:rPr>
      </w:pPr>
    </w:p>
    <w:p w14:paraId="78506D3B">
      <w:pPr>
        <w:keepNext/>
        <w:keepLines/>
        <w:widowControl/>
        <w:spacing w:after="156" w:afterLines="50" w:line="413" w:lineRule="auto"/>
        <w:outlineLvl w:val="1"/>
        <w:rPr>
          <w:rFonts w:ascii="Times New Roman" w:hAnsi="Times New Roman"/>
          <w:b/>
          <w:bCs/>
          <w:color w:val="auto"/>
          <w:kern w:val="0"/>
          <w:sz w:val="32"/>
          <w:szCs w:val="32"/>
          <w:highlight w:val="none"/>
        </w:rPr>
      </w:pPr>
      <w:r>
        <w:rPr>
          <w:rFonts w:ascii="Arial" w:hAnsi="Arial" w:eastAsia="黑体"/>
          <w:b/>
          <w:bCs/>
          <w:color w:val="auto"/>
          <w:kern w:val="0"/>
          <w:sz w:val="24"/>
          <w:szCs w:val="24"/>
          <w:highlight w:val="none"/>
        </w:rPr>
        <w:br w:type="page"/>
      </w:r>
      <w:bookmarkStart w:id="45" w:name="_Hlk52290966"/>
      <w:bookmarkStart w:id="46" w:name="_Hlk76483942"/>
      <w:r>
        <w:rPr>
          <w:rFonts w:hint="eastAsia" w:ascii="Times New Roman" w:hAnsi="Times New Roman"/>
          <w:b/>
          <w:bCs/>
          <w:color w:val="auto"/>
          <w:kern w:val="0"/>
          <w:sz w:val="32"/>
          <w:szCs w:val="32"/>
          <w:highlight w:val="none"/>
        </w:rPr>
        <w:t>六、其它部分</w:t>
      </w:r>
    </w:p>
    <w:bookmarkEnd w:id="45"/>
    <w:p w14:paraId="32D172EB">
      <w:pPr>
        <w:keepNext/>
        <w:keepLines/>
        <w:adjustRightInd w:val="0"/>
        <w:snapToGrid w:val="0"/>
        <w:spacing w:before="280" w:after="290"/>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6.1</w:t>
      </w:r>
      <w:r>
        <w:rPr>
          <w:rFonts w:hint="eastAsia" w:ascii="Times New Roman" w:hAnsi="Times New Roman"/>
          <w:b/>
          <w:bCs/>
          <w:color w:val="auto"/>
          <w:sz w:val="28"/>
          <w:szCs w:val="28"/>
          <w:highlight w:val="none"/>
        </w:rPr>
        <w:t xml:space="preserve"> </w:t>
      </w:r>
      <w:bookmarkStart w:id="47" w:name="_Hlk193709691"/>
      <w:r>
        <w:rPr>
          <w:rFonts w:hint="eastAsia" w:ascii="Times New Roman" w:hAnsi="Times New Roman"/>
          <w:b/>
          <w:bCs/>
          <w:color w:val="auto"/>
          <w:sz w:val="28"/>
          <w:szCs w:val="28"/>
          <w:highlight w:val="none"/>
        </w:rPr>
        <w:t>关于提供增值税专用发票的承诺书格式</w:t>
      </w:r>
      <w:bookmarkEnd w:id="47"/>
    </w:p>
    <w:p w14:paraId="51BDA795">
      <w:pPr>
        <w:spacing w:line="360" w:lineRule="auto"/>
        <w:jc w:val="center"/>
        <w:rPr>
          <w:rFonts w:ascii="宋体"/>
          <w:b/>
          <w:color w:val="auto"/>
          <w:kern w:val="0"/>
          <w:sz w:val="32"/>
          <w:szCs w:val="32"/>
          <w:highlight w:val="none"/>
        </w:rPr>
      </w:pPr>
      <w:bookmarkStart w:id="48" w:name="_Hlk191463017"/>
      <w:r>
        <w:rPr>
          <w:rFonts w:hint="eastAsia" w:ascii="宋体"/>
          <w:b/>
          <w:color w:val="auto"/>
          <w:kern w:val="0"/>
          <w:sz w:val="32"/>
          <w:szCs w:val="32"/>
          <w:highlight w:val="none"/>
        </w:rPr>
        <w:t>关于提供增值税专用发票的承诺书</w:t>
      </w:r>
      <w:bookmarkEnd w:id="48"/>
    </w:p>
    <w:p w14:paraId="1F9A6C4E">
      <w:pPr>
        <w:tabs>
          <w:tab w:val="left" w:pos="3960"/>
        </w:tabs>
        <w:snapToGrid w:val="0"/>
        <w:spacing w:line="360" w:lineRule="auto"/>
        <w:rPr>
          <w:rFonts w:hint="eastAsia" w:ascii="宋体" w:hAnsi="宋体"/>
          <w:color w:val="auto"/>
          <w:szCs w:val="24"/>
          <w:highlight w:val="none"/>
        </w:rPr>
      </w:pPr>
    </w:p>
    <w:p w14:paraId="130AFCC2">
      <w:pPr>
        <w:ind w:right="141" w:rightChars="67"/>
        <w:rPr>
          <w:rFonts w:hint="eastAsia" w:ascii="宋体" w:hAnsi="宋体"/>
          <w:b/>
          <w:color w:val="auto"/>
          <w:szCs w:val="21"/>
          <w:highlight w:val="none"/>
          <w:u w:val="single"/>
        </w:rPr>
      </w:pPr>
      <w:r>
        <w:rPr>
          <w:rFonts w:hint="eastAsia" w:ascii="宋体" w:hAnsi="宋体" w:eastAsia="宋体" w:cs="Times New Roman"/>
          <w:b w:val="0"/>
          <w:color w:val="auto"/>
          <w:kern w:val="2"/>
          <w:sz w:val="21"/>
          <w:szCs w:val="21"/>
          <w:highlight w:val="none"/>
          <w:u w:val="single"/>
          <w:lang w:val="en-US" w:eastAsia="zh-CN" w:bidi="ar-SA"/>
        </w:rPr>
        <w:t>广州广重企业集团有限公司：</w:t>
      </w:r>
      <w:r>
        <w:rPr>
          <w:rFonts w:hint="eastAsia" w:ascii="宋体" w:hAnsi="宋体"/>
          <w:color w:val="auto"/>
          <w:szCs w:val="24"/>
          <w:highlight w:val="none"/>
          <w:u w:val="single"/>
        </w:rPr>
        <w:t>：</w:t>
      </w:r>
    </w:p>
    <w:p w14:paraId="659D72EE">
      <w:pPr>
        <w:snapToGrid w:val="0"/>
        <w:spacing w:line="360" w:lineRule="auto"/>
        <w:ind w:firstLine="420" w:firstLineChars="200"/>
        <w:rPr>
          <w:rFonts w:hint="eastAsia" w:ascii="宋体" w:hAnsi="宋体"/>
          <w:color w:val="auto"/>
          <w:szCs w:val="24"/>
          <w:highlight w:val="none"/>
        </w:rPr>
      </w:pPr>
      <w:r>
        <w:rPr>
          <w:rFonts w:hint="eastAsia" w:ascii="宋体" w:hAnsi="宋体"/>
          <w:color w:val="auto"/>
          <w:szCs w:val="24"/>
          <w:highlight w:val="none"/>
        </w:rPr>
        <w:t>本投标人已详细阅读了</w:t>
      </w:r>
      <w:r>
        <w:rPr>
          <w:rFonts w:hint="eastAsia" w:ascii="宋体" w:hAnsi="宋体"/>
          <w:color w:val="auto"/>
          <w:szCs w:val="24"/>
          <w:highlight w:val="none"/>
          <w:u w:val="single"/>
        </w:rPr>
        <w:t>广州工控大湾区现代高端装备研发生产基地项目（三期）宿舍家具采购项目</w:t>
      </w:r>
      <w:r>
        <w:rPr>
          <w:rFonts w:hint="eastAsia" w:ascii="宋体" w:hAnsi="宋体"/>
          <w:color w:val="auto"/>
          <w:szCs w:val="24"/>
          <w:highlight w:val="none"/>
        </w:rPr>
        <w:t>招标文件，自愿参加上述项目投标</w:t>
      </w:r>
      <w:r>
        <w:rPr>
          <w:rFonts w:ascii="宋体" w:hAnsi="宋体"/>
          <w:color w:val="auto"/>
          <w:szCs w:val="24"/>
          <w:highlight w:val="none"/>
        </w:rPr>
        <w:t>/</w:t>
      </w:r>
      <w:r>
        <w:rPr>
          <w:rFonts w:hint="eastAsia" w:ascii="宋体" w:hAnsi="宋体"/>
          <w:color w:val="auto"/>
          <w:szCs w:val="24"/>
          <w:highlight w:val="none"/>
        </w:rPr>
        <w:t>报价，现就有关事项向招标人郑重承诺如下：</w:t>
      </w:r>
    </w:p>
    <w:p w14:paraId="4F50C02E">
      <w:pPr>
        <w:snapToGrid w:val="0"/>
        <w:spacing w:line="360" w:lineRule="auto"/>
        <w:ind w:firstLine="420" w:firstLineChars="200"/>
        <w:rPr>
          <w:rFonts w:hint="eastAsia" w:ascii="宋体" w:hAnsi="宋体"/>
          <w:color w:val="auto"/>
          <w:szCs w:val="24"/>
          <w:highlight w:val="none"/>
        </w:rPr>
      </w:pPr>
      <w:r>
        <w:rPr>
          <w:rFonts w:hint="eastAsia" w:ascii="宋体" w:hAnsi="宋体"/>
          <w:color w:val="auto"/>
          <w:szCs w:val="24"/>
          <w:highlight w:val="none"/>
        </w:rPr>
        <w:t>我方纳税人主体资格是</w:t>
      </w:r>
      <w:r>
        <w:rPr>
          <w:rFonts w:hint="eastAsia" w:ascii="宋体" w:hAnsi="宋体"/>
          <w:color w:val="auto"/>
          <w:szCs w:val="24"/>
          <w:highlight w:val="none"/>
          <w:u w:val="single"/>
        </w:rPr>
        <w:t xml:space="preserve"> </w:t>
      </w:r>
      <w:r>
        <w:rPr>
          <w:rFonts w:hint="eastAsia" w:ascii="宋体" w:hAnsi="宋体"/>
          <w:color w:val="auto"/>
          <w:szCs w:val="24"/>
          <w:highlight w:val="none"/>
          <w:u w:val="single"/>
        </w:rPr>
        <w:sym w:font="Wingdings 2" w:char="F0A3"/>
      </w:r>
      <w:r>
        <w:rPr>
          <w:rFonts w:hint="eastAsia" w:ascii="宋体" w:hAnsi="宋体"/>
          <w:color w:val="auto"/>
          <w:szCs w:val="24"/>
          <w:highlight w:val="none"/>
          <w:u w:val="single"/>
        </w:rPr>
        <w:t>一般纳税人</w:t>
      </w:r>
      <w:r>
        <w:rPr>
          <w:rFonts w:ascii="宋体" w:hAnsi="宋体"/>
          <w:color w:val="auto"/>
          <w:szCs w:val="24"/>
          <w:highlight w:val="none"/>
          <w:u w:val="single"/>
        </w:rPr>
        <w:t>/</w:t>
      </w:r>
      <w:r>
        <w:rPr>
          <w:rFonts w:hint="eastAsia" w:ascii="宋体" w:hAnsi="宋体"/>
          <w:color w:val="auto"/>
          <w:szCs w:val="24"/>
          <w:highlight w:val="none"/>
          <w:u w:val="single"/>
        </w:rPr>
        <w:sym w:font="Wingdings 2" w:char="F0A3"/>
      </w:r>
      <w:r>
        <w:rPr>
          <w:rFonts w:ascii="宋体" w:hAnsi="宋体"/>
          <w:color w:val="auto"/>
          <w:szCs w:val="24"/>
          <w:highlight w:val="none"/>
          <w:u w:val="single"/>
        </w:rPr>
        <w:t>小规模纳税人</w:t>
      </w:r>
      <w:r>
        <w:rPr>
          <w:rFonts w:hint="eastAsia" w:ascii="宋体" w:hAnsi="宋体"/>
          <w:color w:val="auto"/>
          <w:szCs w:val="24"/>
          <w:highlight w:val="none"/>
          <w:u w:val="single"/>
        </w:rPr>
        <w:t xml:space="preserve"> </w:t>
      </w:r>
      <w:r>
        <w:rPr>
          <w:rFonts w:hint="eastAsia" w:ascii="宋体" w:hAnsi="宋体"/>
          <w:color w:val="auto"/>
          <w:szCs w:val="24"/>
          <w:highlight w:val="none"/>
        </w:rPr>
        <w:t>（在“</w:t>
      </w:r>
      <w:r>
        <w:rPr>
          <w:rFonts w:hint="eastAsia" w:ascii="宋体" w:hAnsi="宋体"/>
          <w:color w:val="auto"/>
          <w:szCs w:val="24"/>
          <w:highlight w:val="none"/>
        </w:rPr>
        <w:sym w:font="Wingdings 2" w:char="F0A3"/>
      </w:r>
      <w:r>
        <w:rPr>
          <w:rFonts w:hint="eastAsia" w:ascii="宋体" w:hAnsi="宋体"/>
          <w:color w:val="auto"/>
          <w:szCs w:val="24"/>
          <w:highlight w:val="none"/>
        </w:rPr>
        <w:t>”打“√”</w:t>
      </w:r>
      <w:r>
        <w:rPr>
          <w:rFonts w:ascii="宋体" w:hAnsi="宋体"/>
          <w:color w:val="auto"/>
          <w:szCs w:val="24"/>
          <w:highlight w:val="none"/>
        </w:rPr>
        <w:t>明确其中之一）</w:t>
      </w:r>
      <w:r>
        <w:rPr>
          <w:rFonts w:hint="eastAsia" w:ascii="宋体" w:hAnsi="宋体"/>
          <w:color w:val="auto"/>
          <w:szCs w:val="24"/>
          <w:highlight w:val="none"/>
        </w:rPr>
        <w:t>。本次报价内容属于我公司营业执照经营范围的业务，本次报价包含税率为</w:t>
      </w:r>
      <w:r>
        <w:rPr>
          <w:rFonts w:ascii="宋体" w:hAnsi="宋体"/>
          <w:color w:val="auto"/>
          <w:szCs w:val="24"/>
          <w:highlight w:val="none"/>
          <w:u w:val="single"/>
        </w:rPr>
        <w:t xml:space="preserve">     </w:t>
      </w:r>
      <w:r>
        <w:rPr>
          <w:rFonts w:ascii="宋体" w:hAnsi="宋体"/>
          <w:b/>
          <w:color w:val="auto"/>
          <w:szCs w:val="24"/>
          <w:highlight w:val="none"/>
        </w:rPr>
        <w:t>%</w:t>
      </w:r>
      <w:r>
        <w:rPr>
          <w:rFonts w:hint="eastAsia" w:ascii="宋体" w:hAnsi="宋体"/>
          <w:color w:val="auto"/>
          <w:szCs w:val="24"/>
          <w:highlight w:val="none"/>
        </w:rPr>
        <w:t>的增值税。</w:t>
      </w:r>
      <w:r>
        <w:rPr>
          <w:rFonts w:ascii="宋体" w:hAnsi="宋体"/>
          <w:color w:val="auto"/>
          <w:szCs w:val="24"/>
          <w:highlight w:val="none"/>
        </w:rPr>
        <w:t>招标人</w:t>
      </w:r>
      <w:r>
        <w:rPr>
          <w:rFonts w:hint="eastAsia" w:ascii="宋体" w:hAnsi="宋体"/>
          <w:color w:val="auto"/>
          <w:szCs w:val="24"/>
          <w:highlight w:val="none"/>
        </w:rPr>
        <w:t>支付项目款项时，我方保证开具与付款金额对等的符合国家法律法规和标准的税率为</w:t>
      </w:r>
      <w:r>
        <w:rPr>
          <w:rFonts w:ascii="宋体" w:hAnsi="宋体"/>
          <w:color w:val="auto"/>
          <w:szCs w:val="24"/>
          <w:highlight w:val="none"/>
          <w:u w:val="single"/>
        </w:rPr>
        <w:t xml:space="preserve">     </w:t>
      </w:r>
      <w:r>
        <w:rPr>
          <w:rFonts w:ascii="宋体" w:hAnsi="宋体"/>
          <w:b/>
          <w:color w:val="auto"/>
          <w:szCs w:val="24"/>
          <w:highlight w:val="none"/>
        </w:rPr>
        <w:t>%</w:t>
      </w:r>
      <w:r>
        <w:rPr>
          <w:rFonts w:hint="eastAsia" w:ascii="宋体" w:hAnsi="宋体"/>
          <w:color w:val="auto"/>
          <w:szCs w:val="24"/>
          <w:highlight w:val="none"/>
        </w:rPr>
        <w:t>的增值税专用发票，若我方开具的增值税专用发票的税率低于承诺的增值税税率，则我方在结算时相应扣减该部分税款差额。我方保证开具的增值税专用发票在送达买方时距开票日期不超过</w:t>
      </w:r>
      <w:r>
        <w:rPr>
          <w:rFonts w:ascii="宋体" w:hAnsi="宋体"/>
          <w:color w:val="auto"/>
          <w:szCs w:val="24"/>
          <w:highlight w:val="none"/>
        </w:rPr>
        <w:t>45天。若因我方开具的增值税专用发票不规范、</w:t>
      </w:r>
      <w:r>
        <w:rPr>
          <w:rFonts w:hint="eastAsia" w:ascii="宋体" w:hAnsi="宋体"/>
          <w:color w:val="auto"/>
          <w:szCs w:val="24"/>
          <w:highlight w:val="none"/>
        </w:rPr>
        <w:t>不合法或涉嫌</w:t>
      </w:r>
      <w:r>
        <w:rPr>
          <w:rFonts w:ascii="宋体" w:hAnsi="宋体"/>
          <w:color w:val="auto"/>
          <w:szCs w:val="24"/>
          <w:highlight w:val="none"/>
        </w:rPr>
        <w:t>虚开</w:t>
      </w:r>
      <w:r>
        <w:rPr>
          <w:rFonts w:hint="eastAsia" w:ascii="宋体" w:hAnsi="宋体"/>
          <w:color w:val="auto"/>
          <w:szCs w:val="24"/>
          <w:highlight w:val="none"/>
        </w:rPr>
        <w:t>等问题造成</w:t>
      </w:r>
      <w:r>
        <w:rPr>
          <w:rFonts w:ascii="宋体" w:hAnsi="宋体"/>
          <w:color w:val="auto"/>
          <w:szCs w:val="24"/>
          <w:highlight w:val="none"/>
        </w:rPr>
        <w:t>招标人无法抵扣或出现</w:t>
      </w:r>
      <w:r>
        <w:rPr>
          <w:rFonts w:hint="eastAsia" w:ascii="宋体" w:hAnsi="宋体"/>
          <w:color w:val="auto"/>
          <w:szCs w:val="24"/>
          <w:highlight w:val="none"/>
        </w:rPr>
        <w:t>法律</w:t>
      </w:r>
      <w:r>
        <w:rPr>
          <w:rFonts w:ascii="宋体" w:hAnsi="宋体"/>
          <w:color w:val="auto"/>
          <w:szCs w:val="24"/>
          <w:highlight w:val="none"/>
        </w:rPr>
        <w:t>风险等由我方</w:t>
      </w:r>
      <w:r>
        <w:rPr>
          <w:rFonts w:hint="eastAsia" w:ascii="宋体" w:hAnsi="宋体"/>
          <w:color w:val="auto"/>
          <w:szCs w:val="24"/>
          <w:highlight w:val="none"/>
        </w:rPr>
        <w:t>负赔偿并承担一切风险、</w:t>
      </w:r>
      <w:r>
        <w:rPr>
          <w:rFonts w:ascii="宋体" w:hAnsi="宋体"/>
          <w:color w:val="auto"/>
          <w:szCs w:val="24"/>
          <w:highlight w:val="none"/>
        </w:rPr>
        <w:t>责任</w:t>
      </w:r>
      <w:r>
        <w:rPr>
          <w:rFonts w:hint="eastAsia" w:ascii="宋体" w:hAnsi="宋体"/>
          <w:color w:val="auto"/>
          <w:szCs w:val="24"/>
          <w:highlight w:val="none"/>
        </w:rPr>
        <w:t>，</w:t>
      </w:r>
      <w:r>
        <w:rPr>
          <w:rFonts w:ascii="宋体" w:hAnsi="宋体"/>
          <w:color w:val="auto"/>
          <w:szCs w:val="24"/>
          <w:highlight w:val="none"/>
        </w:rPr>
        <w:t>而且不能免除我方开具合法发票的义务</w:t>
      </w:r>
      <w:r>
        <w:rPr>
          <w:rFonts w:hint="eastAsia" w:ascii="宋体" w:hAnsi="宋体"/>
          <w:color w:val="auto"/>
          <w:szCs w:val="24"/>
          <w:highlight w:val="none"/>
        </w:rPr>
        <w:t>。</w:t>
      </w:r>
    </w:p>
    <w:p w14:paraId="1896AE3A">
      <w:pPr>
        <w:widowControl/>
        <w:adjustRightInd w:val="0"/>
        <w:snapToGrid w:val="0"/>
        <w:spacing w:line="360" w:lineRule="auto"/>
        <w:jc w:val="left"/>
        <w:rPr>
          <w:rFonts w:hint="eastAsia" w:ascii="宋体" w:hAnsi="宋体"/>
          <w:color w:val="auto"/>
          <w:kern w:val="0"/>
          <w:szCs w:val="21"/>
          <w:highlight w:val="none"/>
        </w:rPr>
      </w:pPr>
    </w:p>
    <w:p w14:paraId="53BF34A9">
      <w:pPr>
        <w:widowControl/>
        <w:jc w:val="left"/>
        <w:rPr>
          <w:rFonts w:ascii="Times New Roman" w:hAnsi="Times New Roman"/>
          <w:color w:val="auto"/>
          <w:kern w:val="0"/>
          <w:szCs w:val="20"/>
          <w:highlight w:val="none"/>
        </w:rPr>
      </w:pPr>
    </w:p>
    <w:p w14:paraId="3BCCC269">
      <w:pPr>
        <w:widowControl/>
        <w:adjustRightInd w:val="0"/>
        <w:snapToGrid w:val="0"/>
        <w:spacing w:line="360" w:lineRule="auto"/>
        <w:jc w:val="left"/>
        <w:rPr>
          <w:rFonts w:hint="eastAsia" w:ascii="宋体" w:hAnsi="宋体"/>
          <w:color w:val="auto"/>
          <w:kern w:val="0"/>
          <w:szCs w:val="21"/>
          <w:highlight w:val="none"/>
          <w:u w:val="single"/>
        </w:rPr>
      </w:pPr>
      <w:r>
        <w:rPr>
          <w:rFonts w:hint="eastAsia" w:ascii="宋体" w:hAnsi="宋体"/>
          <w:color w:val="auto"/>
          <w:kern w:val="0"/>
          <w:szCs w:val="21"/>
          <w:highlight w:val="none"/>
        </w:rPr>
        <w:t>投标人名称：</w:t>
      </w:r>
      <w:r>
        <w:rPr>
          <w:rFonts w:hint="eastAsia" w:ascii="宋体" w:hAnsi="宋体"/>
          <w:color w:val="auto"/>
          <w:kern w:val="0"/>
          <w:szCs w:val="21"/>
          <w:highlight w:val="none"/>
          <w:u w:val="single"/>
        </w:rPr>
        <w:t xml:space="preserve">                        </w:t>
      </w:r>
    </w:p>
    <w:p w14:paraId="3A755753">
      <w:pPr>
        <w:snapToGrid w:val="0"/>
        <w:spacing w:line="360" w:lineRule="auto"/>
        <w:rPr>
          <w:color w:val="auto"/>
          <w:szCs w:val="24"/>
          <w:highlight w:val="none"/>
        </w:rPr>
      </w:pPr>
      <w:r>
        <w:rPr>
          <w:rFonts w:hint="eastAsia" w:ascii="宋体" w:hAnsi="宋体"/>
          <w:color w:val="auto"/>
          <w:szCs w:val="21"/>
          <w:highlight w:val="none"/>
        </w:rPr>
        <w:t>日期：   年   月   日</w:t>
      </w:r>
    </w:p>
    <w:p w14:paraId="78F3DA23">
      <w:pPr>
        <w:keepNext/>
        <w:keepLines/>
        <w:adjustRightInd w:val="0"/>
        <w:snapToGrid w:val="0"/>
        <w:spacing w:before="280" w:after="290"/>
        <w:outlineLvl w:val="3"/>
        <w:rPr>
          <w:rFonts w:ascii="Times New Roman" w:hAnsi="Times New Roman"/>
          <w:b/>
          <w:bCs/>
          <w:color w:val="auto"/>
          <w:sz w:val="28"/>
          <w:szCs w:val="28"/>
          <w:highlight w:val="none"/>
        </w:rPr>
      </w:pPr>
      <w:r>
        <w:rPr>
          <w:rFonts w:ascii="Times New Roman" w:hAnsi="Times New Roman"/>
          <w:color w:val="auto"/>
          <w:sz w:val="28"/>
          <w:szCs w:val="28"/>
          <w:highlight w:val="none"/>
        </w:rPr>
        <w:br w:type="page"/>
      </w:r>
      <w:r>
        <w:rPr>
          <w:rFonts w:ascii="Times New Roman" w:hAnsi="Times New Roman"/>
          <w:b/>
          <w:bCs/>
          <w:color w:val="auto"/>
          <w:sz w:val="28"/>
          <w:szCs w:val="28"/>
          <w:highlight w:val="none"/>
        </w:rPr>
        <w:t>6.</w:t>
      </w:r>
      <w:r>
        <w:rPr>
          <w:rFonts w:hint="eastAsia" w:ascii="Times New Roman" w:hAnsi="Times New Roman"/>
          <w:b/>
          <w:bCs/>
          <w:color w:val="auto"/>
          <w:sz w:val="28"/>
          <w:szCs w:val="28"/>
          <w:highlight w:val="none"/>
          <w:lang w:val="en-US" w:eastAsia="zh-CN"/>
        </w:rPr>
        <w:t>2</w:t>
      </w:r>
      <w:r>
        <w:rPr>
          <w:rFonts w:ascii="Times New Roman" w:hAnsi="Times New Roman"/>
          <w:b/>
          <w:bCs/>
          <w:color w:val="auto"/>
          <w:sz w:val="28"/>
          <w:szCs w:val="28"/>
          <w:highlight w:val="none"/>
        </w:rPr>
        <w:t xml:space="preserve"> </w:t>
      </w:r>
      <w:r>
        <w:rPr>
          <w:rFonts w:ascii="Times New Roman" w:hAnsi="Times New Roman"/>
          <w:b/>
          <w:bCs/>
          <w:color w:val="auto"/>
          <w:sz w:val="28"/>
          <w:szCs w:val="28"/>
          <w:highlight w:val="none"/>
        </w:rPr>
        <w:fldChar w:fldCharType="begin"/>
      </w:r>
      <w:r>
        <w:rPr>
          <w:rFonts w:ascii="Times New Roman" w:hAnsi="Times New Roman"/>
          <w:b/>
          <w:bCs/>
          <w:color w:val="auto"/>
          <w:sz w:val="28"/>
          <w:szCs w:val="28"/>
          <w:highlight w:val="none"/>
        </w:rPr>
        <w:instrText xml:space="preserve"> DOCVARIABLE  </w:instrText>
      </w:r>
      <w:r>
        <w:rPr>
          <w:rFonts w:hint="eastAsia" w:ascii="Times New Roman" w:hAnsi="Times New Roman"/>
          <w:b/>
          <w:bCs/>
          <w:color w:val="auto"/>
          <w:sz w:val="28"/>
          <w:szCs w:val="28"/>
          <w:highlight w:val="none"/>
        </w:rPr>
        <w:instrText xml:space="preserve">商务条款响应表开始</w:instrText>
      </w:r>
      <w:r>
        <w:rPr>
          <w:rFonts w:ascii="Times New Roman" w:hAnsi="Times New Roman"/>
          <w:b/>
          <w:bCs/>
          <w:color w:val="auto"/>
          <w:sz w:val="28"/>
          <w:szCs w:val="28"/>
          <w:highlight w:val="none"/>
        </w:rPr>
        <w:instrText xml:space="preserve">  \* MERGEFORMAT </w:instrText>
      </w:r>
      <w:r>
        <w:rPr>
          <w:rFonts w:ascii="Times New Roman" w:hAnsi="Times New Roman"/>
          <w:b/>
          <w:bCs/>
          <w:color w:val="auto"/>
          <w:sz w:val="28"/>
          <w:szCs w:val="28"/>
          <w:highlight w:val="none"/>
        </w:rPr>
        <w:fldChar w:fldCharType="end"/>
      </w:r>
      <w:r>
        <w:rPr>
          <w:rFonts w:ascii="Times New Roman" w:hAnsi="Times New Roman"/>
          <w:b/>
          <w:bCs/>
          <w:color w:val="auto"/>
          <w:sz w:val="28"/>
          <w:szCs w:val="28"/>
          <w:highlight w:val="none"/>
        </w:rPr>
        <w:fldChar w:fldCharType="begin"/>
      </w:r>
      <w:r>
        <w:rPr>
          <w:rFonts w:ascii="Times New Roman" w:hAnsi="Times New Roman"/>
          <w:b/>
          <w:bCs/>
          <w:color w:val="auto"/>
          <w:sz w:val="28"/>
          <w:szCs w:val="28"/>
          <w:highlight w:val="none"/>
        </w:rPr>
        <w:instrText xml:space="preserve"> DOCVARIABLE  </w:instrText>
      </w:r>
      <w:r>
        <w:rPr>
          <w:rFonts w:hint="eastAsia" w:ascii="Times New Roman" w:hAnsi="Times New Roman"/>
          <w:b/>
          <w:bCs/>
          <w:color w:val="auto"/>
          <w:sz w:val="28"/>
          <w:szCs w:val="28"/>
          <w:highlight w:val="none"/>
        </w:rPr>
        <w:instrText xml:space="preserve">商务条款响应表开始</w:instrText>
      </w:r>
      <w:r>
        <w:rPr>
          <w:rFonts w:ascii="Times New Roman" w:hAnsi="Times New Roman"/>
          <w:b/>
          <w:bCs/>
          <w:color w:val="auto"/>
          <w:sz w:val="28"/>
          <w:szCs w:val="28"/>
          <w:highlight w:val="none"/>
        </w:rPr>
        <w:instrText xml:space="preserve">  \* MERGEFORMAT </w:instrText>
      </w:r>
      <w:r>
        <w:rPr>
          <w:rFonts w:ascii="Times New Roman" w:hAnsi="Times New Roman"/>
          <w:b/>
          <w:bCs/>
          <w:color w:val="auto"/>
          <w:sz w:val="28"/>
          <w:szCs w:val="28"/>
          <w:highlight w:val="none"/>
        </w:rPr>
        <w:fldChar w:fldCharType="end"/>
      </w:r>
      <w:r>
        <w:rPr>
          <w:rFonts w:hint="eastAsia" w:ascii="Times New Roman" w:hAnsi="Times New Roman"/>
          <w:b/>
          <w:bCs/>
          <w:color w:val="auto"/>
          <w:sz w:val="28"/>
          <w:szCs w:val="28"/>
          <w:highlight w:val="none"/>
        </w:rPr>
        <w:fldChar w:fldCharType="begin"/>
      </w:r>
      <w:r>
        <w:rPr>
          <w:rFonts w:hint="eastAsia" w:ascii="Times New Roman" w:hAnsi="Times New Roman"/>
          <w:b/>
          <w:bCs/>
          <w:color w:val="auto"/>
          <w:sz w:val="28"/>
          <w:szCs w:val="28"/>
          <w:highlight w:val="none"/>
        </w:rPr>
        <w:instrText xml:space="preserve"> DOCVARIABLE  商务条款响应表开始  \* MERGEFORMAT </w:instrText>
      </w:r>
      <w:r>
        <w:rPr>
          <w:rFonts w:hint="eastAsia" w:ascii="Times New Roman" w:hAnsi="Times New Roman"/>
          <w:b/>
          <w:bCs/>
          <w:color w:val="auto"/>
          <w:sz w:val="28"/>
          <w:szCs w:val="28"/>
          <w:highlight w:val="none"/>
        </w:rPr>
        <w:fldChar w:fldCharType="end"/>
      </w:r>
      <w:r>
        <w:rPr>
          <w:rFonts w:hint="eastAsia" w:ascii="Times New Roman" w:hAnsi="Times New Roman"/>
          <w:b/>
          <w:bCs/>
          <w:color w:val="auto"/>
          <w:sz w:val="28"/>
          <w:szCs w:val="28"/>
          <w:highlight w:val="none"/>
        </w:rPr>
        <w:fldChar w:fldCharType="begin"/>
      </w:r>
      <w:r>
        <w:rPr>
          <w:rFonts w:hint="eastAsia" w:ascii="Times New Roman" w:hAnsi="Times New Roman"/>
          <w:b/>
          <w:bCs/>
          <w:color w:val="auto"/>
          <w:sz w:val="28"/>
          <w:szCs w:val="28"/>
          <w:highlight w:val="none"/>
        </w:rPr>
        <w:instrText xml:space="preserve"> DOCVARIABLE  商务条款响应表开始  \* MERGEFORMAT </w:instrText>
      </w:r>
      <w:r>
        <w:rPr>
          <w:rFonts w:hint="eastAsia" w:ascii="Times New Roman" w:hAnsi="Times New Roman"/>
          <w:b/>
          <w:bCs/>
          <w:color w:val="auto"/>
          <w:sz w:val="28"/>
          <w:szCs w:val="28"/>
          <w:highlight w:val="none"/>
        </w:rPr>
        <w:fldChar w:fldCharType="end"/>
      </w:r>
      <w:r>
        <w:rPr>
          <w:rFonts w:hint="eastAsia" w:ascii="Times New Roman" w:hAnsi="Times New Roman"/>
          <w:b/>
          <w:bCs/>
          <w:color w:val="auto"/>
          <w:sz w:val="28"/>
          <w:szCs w:val="28"/>
          <w:highlight w:val="none"/>
        </w:rPr>
        <w:fldChar w:fldCharType="begin"/>
      </w:r>
      <w:r>
        <w:rPr>
          <w:rFonts w:hint="eastAsia" w:ascii="Times New Roman" w:hAnsi="Times New Roman"/>
          <w:b/>
          <w:bCs/>
          <w:color w:val="auto"/>
          <w:sz w:val="28"/>
          <w:szCs w:val="28"/>
          <w:highlight w:val="none"/>
        </w:rPr>
        <w:instrText xml:space="preserve"> DOCVARIABLE  商务条款响应表开始  \* MERGEFORMAT </w:instrText>
      </w:r>
      <w:r>
        <w:rPr>
          <w:rFonts w:hint="eastAsia" w:ascii="Times New Roman" w:hAnsi="Times New Roman"/>
          <w:b/>
          <w:bCs/>
          <w:color w:val="auto"/>
          <w:sz w:val="28"/>
          <w:szCs w:val="28"/>
          <w:highlight w:val="none"/>
        </w:rPr>
        <w:fldChar w:fldCharType="end"/>
      </w:r>
      <w:r>
        <w:rPr>
          <w:rFonts w:hint="eastAsia" w:ascii="Times New Roman" w:hAnsi="Times New Roman"/>
          <w:b/>
          <w:bCs/>
          <w:color w:val="auto"/>
          <w:sz w:val="28"/>
          <w:szCs w:val="28"/>
          <w:highlight w:val="none"/>
        </w:rPr>
        <w:fldChar w:fldCharType="begin"/>
      </w:r>
      <w:r>
        <w:rPr>
          <w:rFonts w:hint="eastAsia" w:ascii="Times New Roman" w:hAnsi="Times New Roman"/>
          <w:b/>
          <w:bCs/>
          <w:color w:val="auto"/>
          <w:sz w:val="28"/>
          <w:szCs w:val="28"/>
          <w:highlight w:val="none"/>
        </w:rPr>
        <w:instrText xml:space="preserve"> DOCVARIABLE  商务条款响应表开始  \* MERGEFORMAT </w:instrText>
      </w:r>
      <w:r>
        <w:rPr>
          <w:rFonts w:hint="eastAsia" w:ascii="Times New Roman" w:hAnsi="Times New Roman"/>
          <w:b/>
          <w:bCs/>
          <w:color w:val="auto"/>
          <w:sz w:val="28"/>
          <w:szCs w:val="28"/>
          <w:highlight w:val="none"/>
        </w:rPr>
        <w:fldChar w:fldCharType="end"/>
      </w:r>
      <w:r>
        <w:rPr>
          <w:rFonts w:hint="eastAsia" w:ascii="Times New Roman" w:hAnsi="Times New Roman"/>
          <w:b/>
          <w:bCs/>
          <w:color w:val="auto"/>
          <w:sz w:val="28"/>
          <w:szCs w:val="28"/>
          <w:highlight w:val="none"/>
        </w:rPr>
        <w:t>其它</w:t>
      </w:r>
      <w:r>
        <w:rPr>
          <w:rFonts w:hint="eastAsia" w:ascii="Times New Roman" w:hAnsi="Times New Roman"/>
          <w:b/>
          <w:bCs/>
          <w:color w:val="auto"/>
          <w:sz w:val="28"/>
          <w:szCs w:val="28"/>
          <w:highlight w:val="none"/>
          <w:lang w:val="en-US" w:eastAsia="zh-CN"/>
        </w:rPr>
        <w:t>材料</w:t>
      </w:r>
      <w:r>
        <w:rPr>
          <w:rFonts w:hint="eastAsia" w:ascii="Times New Roman" w:hAnsi="Times New Roman"/>
          <w:b/>
          <w:bCs/>
          <w:color w:val="auto"/>
          <w:sz w:val="28"/>
          <w:szCs w:val="28"/>
          <w:highlight w:val="none"/>
        </w:rPr>
        <w:t>（如有）</w:t>
      </w:r>
    </w:p>
    <w:p w14:paraId="25599812">
      <w:pPr>
        <w:widowControl/>
        <w:adjustRightInd w:val="0"/>
        <w:snapToGrid w:val="0"/>
        <w:spacing w:line="360" w:lineRule="auto"/>
        <w:jc w:val="left"/>
        <w:rPr>
          <w:color w:val="auto"/>
          <w:highlight w:val="none"/>
        </w:rPr>
      </w:pPr>
      <w:r>
        <w:rPr>
          <w:rFonts w:hint="eastAsia" w:ascii="宋体" w:hAnsi="宋体"/>
          <w:color w:val="auto"/>
          <w:kern w:val="0"/>
          <w:szCs w:val="21"/>
          <w:highlight w:val="none"/>
        </w:rPr>
        <w:t>（由投标人根据需要</w:t>
      </w:r>
      <w:r>
        <w:rPr>
          <w:rFonts w:hint="eastAsia" w:ascii="宋体" w:hAnsi="宋体"/>
          <w:color w:val="auto"/>
          <w:kern w:val="0"/>
          <w:szCs w:val="21"/>
          <w:highlight w:val="none"/>
          <w:lang w:val="en-US" w:eastAsia="zh-CN"/>
        </w:rPr>
        <w:t>提供</w:t>
      </w:r>
      <w:r>
        <w:rPr>
          <w:rFonts w:hint="eastAsia" w:ascii="宋体" w:hAnsi="宋体"/>
          <w:color w:val="auto"/>
          <w:kern w:val="0"/>
          <w:szCs w:val="21"/>
          <w:highlight w:val="none"/>
        </w:rPr>
        <w:t>）</w:t>
      </w:r>
      <w:bookmarkEnd w:id="46"/>
      <w:r>
        <w:rPr>
          <w:color w:val="auto"/>
          <w:highlight w:val="none"/>
        </w:rPr>
        <w:t xml:space="preserve"> </w:t>
      </w:r>
    </w:p>
    <w:sectPr>
      <w:headerReference r:id="rId5" w:type="first"/>
      <w:footerReference r:id="rId6" w:type="default"/>
      <w:headerReference r:id="rId4" w:type="even"/>
      <w:footerReference r:id="rId7" w:type="even"/>
      <w:pgSz w:w="11906" w:h="16838"/>
      <w:pgMar w:top="1418" w:right="1247" w:bottom="1361" w:left="1247" w:header="794" w:footer="79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9A29AFD-3C61-4D79-AC64-7D6986DC3878}"/>
  </w:font>
  <w:font w:name="Arial">
    <w:panose1 w:val="020B0604020202020204"/>
    <w:charset w:val="01"/>
    <w:family w:val="swiss"/>
    <w:pitch w:val="default"/>
    <w:sig w:usb0="E0002AFF" w:usb1="C0007843" w:usb2="00000009" w:usb3="00000000" w:csb0="400001FF" w:csb1="FFFF0000"/>
    <w:embedRegular r:id="rId2" w:fontKey="{42921CF3-AEE3-46AE-B28F-2874D1AD654F}"/>
  </w:font>
  <w:font w:name="黑体">
    <w:panose1 w:val="02010609060101010101"/>
    <w:charset w:val="86"/>
    <w:family w:val="auto"/>
    <w:pitch w:val="default"/>
    <w:sig w:usb0="800002BF" w:usb1="38CF7CFA" w:usb2="00000016" w:usb3="00000000" w:csb0="00040001" w:csb1="00000000"/>
    <w:embedRegular r:id="rId3" w:fontKey="{DDBB516D-AB51-4E23-842A-E64560B82E62}"/>
  </w:font>
  <w:font w:name="Courier New">
    <w:panose1 w:val="02070309020205020404"/>
    <w:charset w:val="01"/>
    <w:family w:val="modern"/>
    <w:pitch w:val="default"/>
    <w:sig w:usb0="E0002AFF" w:usb1="C0007843" w:usb2="00000009" w:usb3="00000000" w:csb0="400001FF" w:csb1="FFFF0000"/>
    <w:embedRegular r:id="rId4" w:fontKey="{96AAF9A2-B244-47C9-AC06-B6A1D5719055}"/>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5" w:fontKey="{43D5A36C-CC56-499F-9316-0856BD5A0444}"/>
  </w:font>
  <w:font w:name="Cambria">
    <w:panose1 w:val="02040503050406030204"/>
    <w:charset w:val="00"/>
    <w:family w:val="roman"/>
    <w:pitch w:val="default"/>
    <w:sig w:usb0="E00002FF" w:usb1="400004FF" w:usb2="00000000" w:usb3="00000000" w:csb0="2000019F" w:csb1="00000000"/>
    <w:embedRegular r:id="rId6" w:fontKey="{6867C014-DE3A-4867-82C7-2A091B479B66}"/>
  </w:font>
  <w:font w:name="Times">
    <w:altName w:val="Times New Roman"/>
    <w:panose1 w:val="02020603060405020304"/>
    <w:charset w:val="00"/>
    <w:family w:val="roman"/>
    <w:pitch w:val="default"/>
    <w:sig w:usb0="00000000" w:usb1="00000000" w:usb2="00000000" w:usb3="00000000" w:csb0="000001FF" w:csb1="00000000"/>
  </w:font>
  <w:font w:name="微软雅黑">
    <w:panose1 w:val="020B0503020204020204"/>
    <w:charset w:val="86"/>
    <w:family w:val="swiss"/>
    <w:pitch w:val="default"/>
    <w:sig w:usb0="80000287" w:usb1="280F3C52" w:usb2="00000016" w:usb3="00000000" w:csb0="0004001F" w:csb1="00000000"/>
    <w:embedRegular r:id="rId7" w:fontKey="{534D38CD-C861-4176-A1C5-6B85A97E63AB}"/>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embedRegular r:id="rId8" w:fontKey="{D5DD69D4-341B-4B54-A56F-72B743654F47}"/>
  </w:font>
  <w:font w:name="华文新魏">
    <w:panose1 w:val="02010800040101010101"/>
    <w:charset w:val="86"/>
    <w:family w:val="auto"/>
    <w:pitch w:val="default"/>
    <w:sig w:usb0="00000001" w:usb1="080F0000" w:usb2="00000000" w:usb3="00000000" w:csb0="00040000" w:csb1="00000000"/>
    <w:embedRegular r:id="rId9" w:fontKey="{DA8F722B-2640-4D5E-9959-A53C0F14EDC1}"/>
  </w:font>
  <w:font w:name="Tahoma">
    <w:panose1 w:val="020B0604030504040204"/>
    <w:charset w:val="00"/>
    <w:family w:val="swiss"/>
    <w:pitch w:val="default"/>
    <w:sig w:usb0="E1002EFF" w:usb1="C000605B" w:usb2="00000029" w:usb3="00000000" w:csb0="200101FF" w:csb1="20280000"/>
    <w:embedRegular r:id="rId10" w:fontKey="{FB5190F3-FE3D-4BAF-84E3-329A570337BC}"/>
  </w:font>
  <w:font w:name="方正小标宋简体">
    <w:panose1 w:val="02000000000000000000"/>
    <w:charset w:val="86"/>
    <w:family w:val="auto"/>
    <w:pitch w:val="default"/>
    <w:sig w:usb0="00000001" w:usb1="08000000" w:usb2="00000000" w:usb3="00000000" w:csb0="00040000" w:csb1="00000000"/>
    <w:embedRegular r:id="rId11" w:fontKey="{7E2E286C-5B0F-4BBE-AF04-499D19E74E09}"/>
  </w:font>
  <w:font w:name="华文楷体">
    <w:panose1 w:val="02010600040101010101"/>
    <w:charset w:val="86"/>
    <w:family w:val="auto"/>
    <w:pitch w:val="default"/>
    <w:sig w:usb0="00000287" w:usb1="080F0000" w:usb2="00000000" w:usb3="00000000" w:csb0="0004009F" w:csb1="DFD70000"/>
    <w:embedRegular r:id="rId12" w:fontKey="{9F8D3454-2A02-4EBE-A746-7FE0EA003042}"/>
  </w:font>
  <w:font w:name="Wingdings 2">
    <w:panose1 w:val="05020102010507070707"/>
    <w:charset w:val="02"/>
    <w:family w:val="roman"/>
    <w:pitch w:val="default"/>
    <w:sig w:usb0="00000000" w:usb1="00000000" w:usb2="00000000" w:usb3="00000000" w:csb0="80000000" w:csb1="00000000"/>
    <w:embedRegular r:id="rId13" w:fontKey="{F3A8F490-55B0-4DEE-9DD2-5F2B232630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CC69B">
    <w:pPr>
      <w:pStyle w:val="11"/>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CF7752">
                          <w:pPr>
                            <w:pStyle w:val="16"/>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BCF7752">
                    <w:pPr>
                      <w:pStyle w:val="16"/>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0081F">
    <w:pPr>
      <w:pStyle w:val="16"/>
      <w:tabs>
        <w:tab w:val="center" w:pos="4706"/>
        <w:tab w:val="right" w:pos="9412"/>
        <w:tab w:val="clear" w:pos="4153"/>
        <w:tab w:val="clear" w:pos="8306"/>
      </w:tabs>
      <w:ind w:right="6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D36FE9">
                          <w:pPr>
                            <w:pStyle w:val="16"/>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1D36FE9">
                    <w:pPr>
                      <w:pStyle w:val="16"/>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7EA27">
    <w:pPr>
      <w:pStyle w:val="16"/>
      <w:tabs>
        <w:tab w:val="center" w:pos="4706"/>
        <w:tab w:val="right" w:pos="9412"/>
        <w:tab w:val="clear" w:pos="4153"/>
        <w:tab w:val="clear" w:pos="8306"/>
      </w:tabs>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3EA0E0">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93EA0E0">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65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23107">
    <w:pPr>
      <w:pStyle w:val="17"/>
      <w:pBdr>
        <w:bottom w:val="none" w:color="auto" w:sz="0" w:space="0"/>
      </w:pBdr>
      <w:jc w:val="both"/>
      <w:rPr>
        <w:u w:val="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9A478">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AC20BF"/>
    <w:multiLevelType w:val="multilevel"/>
    <w:tmpl w:val="95AC20BF"/>
    <w:lvl w:ilvl="0" w:tentative="0">
      <w:start w:val="1"/>
      <w:numFmt w:val="japaneseCounting"/>
      <w:lvlText w:val="%1、"/>
      <w:lvlJc w:val="left"/>
      <w:pPr>
        <w:tabs>
          <w:tab w:val="left" w:pos="562"/>
        </w:tabs>
        <w:ind w:left="562" w:hanging="420"/>
      </w:pPr>
      <w:rPr>
        <w:rFonts w:ascii="宋体" w:hAnsi="宋体" w:eastAsia="宋体" w:cs="Courier New"/>
        <w:b/>
        <w:lang w:val="en-US"/>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35"/>
    <w:multiLevelType w:val="multilevel"/>
    <w:tmpl w:val="00000035"/>
    <w:lvl w:ilvl="0" w:tentative="0">
      <w:start w:val="1"/>
      <w:numFmt w:val="japaneseCounting"/>
      <w:lvlText w:val="%1、"/>
      <w:lvlJc w:val="left"/>
      <w:pPr>
        <w:tabs>
          <w:tab w:val="left" w:pos="562"/>
        </w:tabs>
        <w:ind w:left="562" w:hanging="420"/>
      </w:pPr>
      <w:rPr>
        <w:rFonts w:ascii="宋体" w:hAnsi="宋体" w:eastAsia="宋体" w:cs="Courier New"/>
        <w:b/>
        <w:lang w:val="en-US"/>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F14336E"/>
    <w:multiLevelType w:val="multilevel"/>
    <w:tmpl w:val="0F14336E"/>
    <w:lvl w:ilvl="0" w:tentative="0">
      <w:start w:val="1"/>
      <w:numFmt w:val="decimal"/>
      <w:lvlText w:val="%1."/>
      <w:lvlJc w:val="left"/>
      <w:pPr>
        <w:tabs>
          <w:tab w:val="left" w:pos="540"/>
        </w:tabs>
        <w:ind w:left="540" w:hanging="360"/>
      </w:pPr>
      <w:rPr>
        <w:rFonts w:hint="default"/>
        <w:b w:val="0"/>
      </w:rPr>
    </w:lvl>
    <w:lvl w:ilvl="1" w:tentative="0">
      <w:start w:val="7"/>
      <w:numFmt w:val="japaneseCounting"/>
      <w:lvlText w:val="第%2章"/>
      <w:lvlJc w:val="left"/>
      <w:pPr>
        <w:tabs>
          <w:tab w:val="left" w:pos="1545"/>
        </w:tabs>
        <w:ind w:left="1545" w:hanging="112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50B5653"/>
    <w:multiLevelType w:val="multilevel"/>
    <w:tmpl w:val="250B565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1354640"/>
    <w:multiLevelType w:val="multilevel"/>
    <w:tmpl w:val="41354640"/>
    <w:lvl w:ilvl="0" w:tentative="0">
      <w:start w:val="1"/>
      <w:numFmt w:val="japaneseCounting"/>
      <w:lvlText w:val="%1、"/>
      <w:lvlJc w:val="left"/>
      <w:pPr>
        <w:tabs>
          <w:tab w:val="left" w:pos="562"/>
        </w:tabs>
        <w:ind w:left="562" w:hanging="420"/>
      </w:pPr>
      <w:rPr>
        <w:rFonts w:ascii="宋体" w:hAnsi="宋体" w:eastAsia="宋体" w:cs="Courier New"/>
        <w:b/>
        <w:lang w:val="en-US"/>
      </w:rPr>
    </w:lvl>
    <w:lvl w:ilvl="1" w:tentative="0">
      <w:start w:val="1"/>
      <w:numFmt w:val="decimal"/>
      <w:lvlText w:val="%2、"/>
      <w:lvlJc w:val="left"/>
      <w:pPr>
        <w:tabs>
          <w:tab w:val="left" w:pos="780"/>
        </w:tabs>
        <w:ind w:left="780" w:hanging="360"/>
      </w:pPr>
      <w:rPr>
        <w:rFonts w:hint="default"/>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68C4CAC"/>
    <w:multiLevelType w:val="singleLevel"/>
    <w:tmpl w:val="568C4CAC"/>
    <w:lvl w:ilvl="0" w:tentative="0">
      <w:start w:val="1"/>
      <w:numFmt w:val="decimal"/>
      <w:lvlText w:val="%1."/>
      <w:lvlJc w:val="left"/>
      <w:pPr>
        <w:tabs>
          <w:tab w:val="left" w:pos="312"/>
        </w:tabs>
      </w:pPr>
    </w:lvl>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liZjY2NmFiMDRmNGRmYTExMjFiZjliZmI2YjgwMjcifQ=="/>
    <w:docVar w:name="KGWebUrl" w:val="http://10.168.30.10:7890/easoa/PositionServlet"/>
  </w:docVars>
  <w:rsids>
    <w:rsidRoot w:val="002C10C2"/>
    <w:rsid w:val="000035A2"/>
    <w:rsid w:val="000069FD"/>
    <w:rsid w:val="000113B4"/>
    <w:rsid w:val="0001177E"/>
    <w:rsid w:val="000127C5"/>
    <w:rsid w:val="00014166"/>
    <w:rsid w:val="000146C7"/>
    <w:rsid w:val="000172E5"/>
    <w:rsid w:val="000206FB"/>
    <w:rsid w:val="00022F81"/>
    <w:rsid w:val="00024882"/>
    <w:rsid w:val="00032821"/>
    <w:rsid w:val="00033769"/>
    <w:rsid w:val="0003659F"/>
    <w:rsid w:val="0003738A"/>
    <w:rsid w:val="00037911"/>
    <w:rsid w:val="00037A75"/>
    <w:rsid w:val="00045E10"/>
    <w:rsid w:val="00047AB5"/>
    <w:rsid w:val="000515FF"/>
    <w:rsid w:val="000558EA"/>
    <w:rsid w:val="00056180"/>
    <w:rsid w:val="00060497"/>
    <w:rsid w:val="00061136"/>
    <w:rsid w:val="00062DD7"/>
    <w:rsid w:val="000631DA"/>
    <w:rsid w:val="0006389B"/>
    <w:rsid w:val="000701AB"/>
    <w:rsid w:val="000722AD"/>
    <w:rsid w:val="00074990"/>
    <w:rsid w:val="0007627F"/>
    <w:rsid w:val="00076F7B"/>
    <w:rsid w:val="0008009A"/>
    <w:rsid w:val="00082E56"/>
    <w:rsid w:val="00084D31"/>
    <w:rsid w:val="00087077"/>
    <w:rsid w:val="00090BE5"/>
    <w:rsid w:val="00092E7A"/>
    <w:rsid w:val="00095AF1"/>
    <w:rsid w:val="000A077A"/>
    <w:rsid w:val="000A6974"/>
    <w:rsid w:val="000A6AE6"/>
    <w:rsid w:val="000A6D08"/>
    <w:rsid w:val="000B0D76"/>
    <w:rsid w:val="000B2AD8"/>
    <w:rsid w:val="000B403B"/>
    <w:rsid w:val="000B6E9D"/>
    <w:rsid w:val="000C1351"/>
    <w:rsid w:val="000C1DE3"/>
    <w:rsid w:val="000C27C6"/>
    <w:rsid w:val="000C5FAC"/>
    <w:rsid w:val="000C6B03"/>
    <w:rsid w:val="000C6BDC"/>
    <w:rsid w:val="000C715F"/>
    <w:rsid w:val="000D0D57"/>
    <w:rsid w:val="000D1A4B"/>
    <w:rsid w:val="000D51D6"/>
    <w:rsid w:val="000E2784"/>
    <w:rsid w:val="000E2AD8"/>
    <w:rsid w:val="000E335D"/>
    <w:rsid w:val="000E6AD9"/>
    <w:rsid w:val="000E729E"/>
    <w:rsid w:val="000F2DCE"/>
    <w:rsid w:val="000F33D4"/>
    <w:rsid w:val="000F4371"/>
    <w:rsid w:val="00101158"/>
    <w:rsid w:val="001062DA"/>
    <w:rsid w:val="001115C7"/>
    <w:rsid w:val="00113F07"/>
    <w:rsid w:val="0011618F"/>
    <w:rsid w:val="00116F60"/>
    <w:rsid w:val="0012768D"/>
    <w:rsid w:val="001334A1"/>
    <w:rsid w:val="00134DB4"/>
    <w:rsid w:val="00147579"/>
    <w:rsid w:val="0014779C"/>
    <w:rsid w:val="00150016"/>
    <w:rsid w:val="00160280"/>
    <w:rsid w:val="00172360"/>
    <w:rsid w:val="001726D6"/>
    <w:rsid w:val="00173A68"/>
    <w:rsid w:val="00175141"/>
    <w:rsid w:val="00176DC8"/>
    <w:rsid w:val="00182240"/>
    <w:rsid w:val="001822D6"/>
    <w:rsid w:val="00184C0D"/>
    <w:rsid w:val="00185A5C"/>
    <w:rsid w:val="00190417"/>
    <w:rsid w:val="00191743"/>
    <w:rsid w:val="00191CAD"/>
    <w:rsid w:val="00193766"/>
    <w:rsid w:val="00195254"/>
    <w:rsid w:val="001965C0"/>
    <w:rsid w:val="00196D47"/>
    <w:rsid w:val="001A36EA"/>
    <w:rsid w:val="001A3C9B"/>
    <w:rsid w:val="001A5ADC"/>
    <w:rsid w:val="001A6A1C"/>
    <w:rsid w:val="001A7346"/>
    <w:rsid w:val="001B1C64"/>
    <w:rsid w:val="001B31E2"/>
    <w:rsid w:val="001B69A9"/>
    <w:rsid w:val="001B7C5D"/>
    <w:rsid w:val="001C2798"/>
    <w:rsid w:val="001C4B54"/>
    <w:rsid w:val="001D74E3"/>
    <w:rsid w:val="001E3F4B"/>
    <w:rsid w:val="001E4DA9"/>
    <w:rsid w:val="001E6777"/>
    <w:rsid w:val="001F2BDC"/>
    <w:rsid w:val="001F43C1"/>
    <w:rsid w:val="002004C2"/>
    <w:rsid w:val="00201BAC"/>
    <w:rsid w:val="00202678"/>
    <w:rsid w:val="002036C5"/>
    <w:rsid w:val="00204DDA"/>
    <w:rsid w:val="00206FA9"/>
    <w:rsid w:val="002123ED"/>
    <w:rsid w:val="00212EC8"/>
    <w:rsid w:val="0021398F"/>
    <w:rsid w:val="00213CF6"/>
    <w:rsid w:val="00220A97"/>
    <w:rsid w:val="00221DCB"/>
    <w:rsid w:val="002228AC"/>
    <w:rsid w:val="00231387"/>
    <w:rsid w:val="0023575B"/>
    <w:rsid w:val="00235C03"/>
    <w:rsid w:val="0024681E"/>
    <w:rsid w:val="00247454"/>
    <w:rsid w:val="002527FA"/>
    <w:rsid w:val="002551FF"/>
    <w:rsid w:val="00255C7E"/>
    <w:rsid w:val="00257D18"/>
    <w:rsid w:val="0026309E"/>
    <w:rsid w:val="00270919"/>
    <w:rsid w:val="00275210"/>
    <w:rsid w:val="00275BF1"/>
    <w:rsid w:val="00280224"/>
    <w:rsid w:val="00285663"/>
    <w:rsid w:val="00291350"/>
    <w:rsid w:val="00296129"/>
    <w:rsid w:val="00297E82"/>
    <w:rsid w:val="002A4621"/>
    <w:rsid w:val="002A4666"/>
    <w:rsid w:val="002B1224"/>
    <w:rsid w:val="002B4DDC"/>
    <w:rsid w:val="002C0918"/>
    <w:rsid w:val="002C10C2"/>
    <w:rsid w:val="002C46FF"/>
    <w:rsid w:val="002C4943"/>
    <w:rsid w:val="002C5589"/>
    <w:rsid w:val="002C7350"/>
    <w:rsid w:val="002C75BD"/>
    <w:rsid w:val="002C7644"/>
    <w:rsid w:val="002C7BA6"/>
    <w:rsid w:val="002D137A"/>
    <w:rsid w:val="002D2458"/>
    <w:rsid w:val="002D27E6"/>
    <w:rsid w:val="002D45A1"/>
    <w:rsid w:val="002D6EA3"/>
    <w:rsid w:val="002E05AA"/>
    <w:rsid w:val="002E3146"/>
    <w:rsid w:val="002E5355"/>
    <w:rsid w:val="002E7753"/>
    <w:rsid w:val="002F2FC7"/>
    <w:rsid w:val="002F3119"/>
    <w:rsid w:val="002F38AF"/>
    <w:rsid w:val="002F4EE2"/>
    <w:rsid w:val="002F62CD"/>
    <w:rsid w:val="002F73C9"/>
    <w:rsid w:val="002F796E"/>
    <w:rsid w:val="00300CE0"/>
    <w:rsid w:val="00301CF7"/>
    <w:rsid w:val="00303015"/>
    <w:rsid w:val="00303CF9"/>
    <w:rsid w:val="003043AA"/>
    <w:rsid w:val="00304AEB"/>
    <w:rsid w:val="003077B9"/>
    <w:rsid w:val="00311128"/>
    <w:rsid w:val="003137C8"/>
    <w:rsid w:val="003148BC"/>
    <w:rsid w:val="00314BBA"/>
    <w:rsid w:val="00320E81"/>
    <w:rsid w:val="0032239D"/>
    <w:rsid w:val="00322489"/>
    <w:rsid w:val="0032248B"/>
    <w:rsid w:val="00323C63"/>
    <w:rsid w:val="003248C6"/>
    <w:rsid w:val="00324BBB"/>
    <w:rsid w:val="00327572"/>
    <w:rsid w:val="00330FD3"/>
    <w:rsid w:val="00334BF3"/>
    <w:rsid w:val="00335B34"/>
    <w:rsid w:val="00335C7F"/>
    <w:rsid w:val="00341042"/>
    <w:rsid w:val="0034376A"/>
    <w:rsid w:val="0034531A"/>
    <w:rsid w:val="00346190"/>
    <w:rsid w:val="00351BCC"/>
    <w:rsid w:val="0035479B"/>
    <w:rsid w:val="00354F25"/>
    <w:rsid w:val="00355A51"/>
    <w:rsid w:val="00360BBC"/>
    <w:rsid w:val="003626D8"/>
    <w:rsid w:val="003655BF"/>
    <w:rsid w:val="00373B64"/>
    <w:rsid w:val="00373B82"/>
    <w:rsid w:val="003760AB"/>
    <w:rsid w:val="00376877"/>
    <w:rsid w:val="00377C8F"/>
    <w:rsid w:val="00382E5B"/>
    <w:rsid w:val="00384806"/>
    <w:rsid w:val="00387784"/>
    <w:rsid w:val="0039090D"/>
    <w:rsid w:val="003933D1"/>
    <w:rsid w:val="003941A9"/>
    <w:rsid w:val="003A2282"/>
    <w:rsid w:val="003A323D"/>
    <w:rsid w:val="003A5FF1"/>
    <w:rsid w:val="003A7CC2"/>
    <w:rsid w:val="003B045B"/>
    <w:rsid w:val="003B5CDA"/>
    <w:rsid w:val="003B60EA"/>
    <w:rsid w:val="003C0B80"/>
    <w:rsid w:val="003C3035"/>
    <w:rsid w:val="003C5D24"/>
    <w:rsid w:val="003D2B6F"/>
    <w:rsid w:val="003D3CFF"/>
    <w:rsid w:val="003D7B20"/>
    <w:rsid w:val="003E0823"/>
    <w:rsid w:val="003E0913"/>
    <w:rsid w:val="003E1911"/>
    <w:rsid w:val="003E2603"/>
    <w:rsid w:val="003E348D"/>
    <w:rsid w:val="003E3C68"/>
    <w:rsid w:val="003F039A"/>
    <w:rsid w:val="003F385C"/>
    <w:rsid w:val="003F3CE8"/>
    <w:rsid w:val="003F4A5E"/>
    <w:rsid w:val="003F690C"/>
    <w:rsid w:val="003F7182"/>
    <w:rsid w:val="003F7352"/>
    <w:rsid w:val="003F778F"/>
    <w:rsid w:val="004007B1"/>
    <w:rsid w:val="004009B3"/>
    <w:rsid w:val="00400B1A"/>
    <w:rsid w:val="0040277A"/>
    <w:rsid w:val="00404E16"/>
    <w:rsid w:val="00404FF2"/>
    <w:rsid w:val="00405F2D"/>
    <w:rsid w:val="00406308"/>
    <w:rsid w:val="00406CBD"/>
    <w:rsid w:val="0040789B"/>
    <w:rsid w:val="00410562"/>
    <w:rsid w:val="00411A78"/>
    <w:rsid w:val="00412298"/>
    <w:rsid w:val="00413C4E"/>
    <w:rsid w:val="004154B8"/>
    <w:rsid w:val="00416FD1"/>
    <w:rsid w:val="00421927"/>
    <w:rsid w:val="00422BFF"/>
    <w:rsid w:val="00424A93"/>
    <w:rsid w:val="00424B1F"/>
    <w:rsid w:val="004270EA"/>
    <w:rsid w:val="004331FF"/>
    <w:rsid w:val="00433DCC"/>
    <w:rsid w:val="00436B7D"/>
    <w:rsid w:val="00437A63"/>
    <w:rsid w:val="00437EFA"/>
    <w:rsid w:val="00441B29"/>
    <w:rsid w:val="00443C41"/>
    <w:rsid w:val="004440B1"/>
    <w:rsid w:val="00455754"/>
    <w:rsid w:val="00460F7B"/>
    <w:rsid w:val="00463671"/>
    <w:rsid w:val="00463D1F"/>
    <w:rsid w:val="00466E6C"/>
    <w:rsid w:val="0046702C"/>
    <w:rsid w:val="00470485"/>
    <w:rsid w:val="0047073A"/>
    <w:rsid w:val="00471915"/>
    <w:rsid w:val="00471FD8"/>
    <w:rsid w:val="004721BD"/>
    <w:rsid w:val="00473154"/>
    <w:rsid w:val="00473CEC"/>
    <w:rsid w:val="00480E00"/>
    <w:rsid w:val="00485D65"/>
    <w:rsid w:val="00491BCF"/>
    <w:rsid w:val="00491CF0"/>
    <w:rsid w:val="00493B5B"/>
    <w:rsid w:val="004A04C2"/>
    <w:rsid w:val="004A21A6"/>
    <w:rsid w:val="004A22A1"/>
    <w:rsid w:val="004A2A66"/>
    <w:rsid w:val="004A2D3B"/>
    <w:rsid w:val="004A2E51"/>
    <w:rsid w:val="004A390D"/>
    <w:rsid w:val="004A3B30"/>
    <w:rsid w:val="004A4A8E"/>
    <w:rsid w:val="004B2380"/>
    <w:rsid w:val="004B4BAB"/>
    <w:rsid w:val="004B6DFC"/>
    <w:rsid w:val="004B7ED9"/>
    <w:rsid w:val="004C0B3B"/>
    <w:rsid w:val="004C19C5"/>
    <w:rsid w:val="004C2291"/>
    <w:rsid w:val="004C36CF"/>
    <w:rsid w:val="004C63AE"/>
    <w:rsid w:val="004C6813"/>
    <w:rsid w:val="004C7A7C"/>
    <w:rsid w:val="004D1876"/>
    <w:rsid w:val="004D1E97"/>
    <w:rsid w:val="004D509B"/>
    <w:rsid w:val="004D5735"/>
    <w:rsid w:val="004D601E"/>
    <w:rsid w:val="004D642C"/>
    <w:rsid w:val="004D6804"/>
    <w:rsid w:val="004D7E1D"/>
    <w:rsid w:val="004E2E45"/>
    <w:rsid w:val="004E74E3"/>
    <w:rsid w:val="004E7AC6"/>
    <w:rsid w:val="004F039A"/>
    <w:rsid w:val="004F0E9E"/>
    <w:rsid w:val="004F6178"/>
    <w:rsid w:val="00500111"/>
    <w:rsid w:val="00501188"/>
    <w:rsid w:val="005031BD"/>
    <w:rsid w:val="00511E54"/>
    <w:rsid w:val="00512265"/>
    <w:rsid w:val="005134F4"/>
    <w:rsid w:val="005141B4"/>
    <w:rsid w:val="005143FC"/>
    <w:rsid w:val="00517ED2"/>
    <w:rsid w:val="0052125F"/>
    <w:rsid w:val="00522074"/>
    <w:rsid w:val="00522F9D"/>
    <w:rsid w:val="0052570B"/>
    <w:rsid w:val="005275D5"/>
    <w:rsid w:val="0052761F"/>
    <w:rsid w:val="005311B3"/>
    <w:rsid w:val="00532818"/>
    <w:rsid w:val="005339F8"/>
    <w:rsid w:val="00536880"/>
    <w:rsid w:val="00543BA2"/>
    <w:rsid w:val="00545C50"/>
    <w:rsid w:val="00545E60"/>
    <w:rsid w:val="0055352C"/>
    <w:rsid w:val="00553DD2"/>
    <w:rsid w:val="005612B9"/>
    <w:rsid w:val="00562445"/>
    <w:rsid w:val="005723AC"/>
    <w:rsid w:val="00572F23"/>
    <w:rsid w:val="0058233C"/>
    <w:rsid w:val="00583F61"/>
    <w:rsid w:val="005919B1"/>
    <w:rsid w:val="0059347A"/>
    <w:rsid w:val="005963E8"/>
    <w:rsid w:val="005A08BD"/>
    <w:rsid w:val="005A2DF2"/>
    <w:rsid w:val="005A3534"/>
    <w:rsid w:val="005A6E63"/>
    <w:rsid w:val="005B314B"/>
    <w:rsid w:val="005C1523"/>
    <w:rsid w:val="005D031C"/>
    <w:rsid w:val="005D4955"/>
    <w:rsid w:val="005D7202"/>
    <w:rsid w:val="005E1381"/>
    <w:rsid w:val="005E1AE1"/>
    <w:rsid w:val="005E2086"/>
    <w:rsid w:val="005E23EB"/>
    <w:rsid w:val="005E5FE0"/>
    <w:rsid w:val="005E6BAA"/>
    <w:rsid w:val="005F158F"/>
    <w:rsid w:val="005F196F"/>
    <w:rsid w:val="005F2A46"/>
    <w:rsid w:val="005F395F"/>
    <w:rsid w:val="005F397C"/>
    <w:rsid w:val="005F6519"/>
    <w:rsid w:val="0060319F"/>
    <w:rsid w:val="00604AC3"/>
    <w:rsid w:val="00610B61"/>
    <w:rsid w:val="00614C1D"/>
    <w:rsid w:val="00617D12"/>
    <w:rsid w:val="00620A38"/>
    <w:rsid w:val="006210CF"/>
    <w:rsid w:val="00621638"/>
    <w:rsid w:val="00623CEF"/>
    <w:rsid w:val="006339C0"/>
    <w:rsid w:val="00636EE5"/>
    <w:rsid w:val="00637438"/>
    <w:rsid w:val="00637724"/>
    <w:rsid w:val="006401A8"/>
    <w:rsid w:val="00640E8E"/>
    <w:rsid w:val="00641927"/>
    <w:rsid w:val="0064197C"/>
    <w:rsid w:val="006422AB"/>
    <w:rsid w:val="006429A9"/>
    <w:rsid w:val="00642E2E"/>
    <w:rsid w:val="00647278"/>
    <w:rsid w:val="006517C5"/>
    <w:rsid w:val="00652CC9"/>
    <w:rsid w:val="0065419C"/>
    <w:rsid w:val="00654BB3"/>
    <w:rsid w:val="0065693B"/>
    <w:rsid w:val="00657723"/>
    <w:rsid w:val="006666CB"/>
    <w:rsid w:val="00670BD7"/>
    <w:rsid w:val="00673BAA"/>
    <w:rsid w:val="00680321"/>
    <w:rsid w:val="00682201"/>
    <w:rsid w:val="0068232A"/>
    <w:rsid w:val="00684752"/>
    <w:rsid w:val="00684C15"/>
    <w:rsid w:val="00690F21"/>
    <w:rsid w:val="0069107E"/>
    <w:rsid w:val="0069125F"/>
    <w:rsid w:val="00691E5E"/>
    <w:rsid w:val="006927AA"/>
    <w:rsid w:val="00695638"/>
    <w:rsid w:val="00695793"/>
    <w:rsid w:val="006A4A85"/>
    <w:rsid w:val="006A56F7"/>
    <w:rsid w:val="006A7715"/>
    <w:rsid w:val="006A7A14"/>
    <w:rsid w:val="006B0B41"/>
    <w:rsid w:val="006B25DE"/>
    <w:rsid w:val="006B63C8"/>
    <w:rsid w:val="006C1CCE"/>
    <w:rsid w:val="006D1400"/>
    <w:rsid w:val="006D353C"/>
    <w:rsid w:val="006D39A8"/>
    <w:rsid w:val="006D68C2"/>
    <w:rsid w:val="006D7014"/>
    <w:rsid w:val="006E0C6E"/>
    <w:rsid w:val="006E3FF3"/>
    <w:rsid w:val="006E490F"/>
    <w:rsid w:val="006E4A84"/>
    <w:rsid w:val="006F1DC9"/>
    <w:rsid w:val="006F2A27"/>
    <w:rsid w:val="006F3391"/>
    <w:rsid w:val="006F5620"/>
    <w:rsid w:val="006F7C8F"/>
    <w:rsid w:val="0071132A"/>
    <w:rsid w:val="00711C60"/>
    <w:rsid w:val="00716740"/>
    <w:rsid w:val="00724026"/>
    <w:rsid w:val="007254EC"/>
    <w:rsid w:val="00731BED"/>
    <w:rsid w:val="0073696B"/>
    <w:rsid w:val="00740A98"/>
    <w:rsid w:val="00743331"/>
    <w:rsid w:val="00745F53"/>
    <w:rsid w:val="00747E1F"/>
    <w:rsid w:val="007503B3"/>
    <w:rsid w:val="007520EB"/>
    <w:rsid w:val="00753DD2"/>
    <w:rsid w:val="007542A1"/>
    <w:rsid w:val="0075613E"/>
    <w:rsid w:val="00761255"/>
    <w:rsid w:val="00762D6F"/>
    <w:rsid w:val="0076304A"/>
    <w:rsid w:val="007631C3"/>
    <w:rsid w:val="0076720B"/>
    <w:rsid w:val="0077022A"/>
    <w:rsid w:val="00772AF5"/>
    <w:rsid w:val="007742B7"/>
    <w:rsid w:val="00781161"/>
    <w:rsid w:val="00781A9D"/>
    <w:rsid w:val="0078390F"/>
    <w:rsid w:val="00784A2C"/>
    <w:rsid w:val="00785FA5"/>
    <w:rsid w:val="00796E22"/>
    <w:rsid w:val="007A0501"/>
    <w:rsid w:val="007A24A4"/>
    <w:rsid w:val="007A6082"/>
    <w:rsid w:val="007B0851"/>
    <w:rsid w:val="007B3C80"/>
    <w:rsid w:val="007B5142"/>
    <w:rsid w:val="007C0A4A"/>
    <w:rsid w:val="007C0B95"/>
    <w:rsid w:val="007C5ACA"/>
    <w:rsid w:val="007C5B29"/>
    <w:rsid w:val="007C6D6B"/>
    <w:rsid w:val="007D4084"/>
    <w:rsid w:val="007D4D86"/>
    <w:rsid w:val="007D647E"/>
    <w:rsid w:val="007E0F02"/>
    <w:rsid w:val="007E113F"/>
    <w:rsid w:val="007E52F8"/>
    <w:rsid w:val="007E57A4"/>
    <w:rsid w:val="007E5DC2"/>
    <w:rsid w:val="007E62EF"/>
    <w:rsid w:val="007F0502"/>
    <w:rsid w:val="007F46ED"/>
    <w:rsid w:val="007F6D2F"/>
    <w:rsid w:val="00800B23"/>
    <w:rsid w:val="00801A6B"/>
    <w:rsid w:val="008044F6"/>
    <w:rsid w:val="008046A3"/>
    <w:rsid w:val="00805C81"/>
    <w:rsid w:val="00813EB7"/>
    <w:rsid w:val="008145C3"/>
    <w:rsid w:val="00817288"/>
    <w:rsid w:val="008178FD"/>
    <w:rsid w:val="00820741"/>
    <w:rsid w:val="008229F5"/>
    <w:rsid w:val="00825342"/>
    <w:rsid w:val="008274B3"/>
    <w:rsid w:val="008277FB"/>
    <w:rsid w:val="00830980"/>
    <w:rsid w:val="00834298"/>
    <w:rsid w:val="00834D02"/>
    <w:rsid w:val="00834F39"/>
    <w:rsid w:val="008369E6"/>
    <w:rsid w:val="008432B6"/>
    <w:rsid w:val="00844C43"/>
    <w:rsid w:val="0084679D"/>
    <w:rsid w:val="008468DF"/>
    <w:rsid w:val="00850447"/>
    <w:rsid w:val="00862C87"/>
    <w:rsid w:val="00864EF3"/>
    <w:rsid w:val="00865549"/>
    <w:rsid w:val="00866BB1"/>
    <w:rsid w:val="00867930"/>
    <w:rsid w:val="00870510"/>
    <w:rsid w:val="00870F5C"/>
    <w:rsid w:val="00871DAD"/>
    <w:rsid w:val="00873243"/>
    <w:rsid w:val="00874396"/>
    <w:rsid w:val="00874F5E"/>
    <w:rsid w:val="00876526"/>
    <w:rsid w:val="00882CBA"/>
    <w:rsid w:val="008850B6"/>
    <w:rsid w:val="00885A57"/>
    <w:rsid w:val="00887B31"/>
    <w:rsid w:val="00892821"/>
    <w:rsid w:val="00892F9E"/>
    <w:rsid w:val="008A64BF"/>
    <w:rsid w:val="008B194D"/>
    <w:rsid w:val="008B62C8"/>
    <w:rsid w:val="008B7694"/>
    <w:rsid w:val="008C01D6"/>
    <w:rsid w:val="008C39CC"/>
    <w:rsid w:val="008C5FE7"/>
    <w:rsid w:val="008C6290"/>
    <w:rsid w:val="008D2D4B"/>
    <w:rsid w:val="008D2E3D"/>
    <w:rsid w:val="008D55E3"/>
    <w:rsid w:val="008E37C5"/>
    <w:rsid w:val="008E402F"/>
    <w:rsid w:val="008E4DF7"/>
    <w:rsid w:val="008E5469"/>
    <w:rsid w:val="008E5BF7"/>
    <w:rsid w:val="008F0686"/>
    <w:rsid w:val="0090088A"/>
    <w:rsid w:val="0090793E"/>
    <w:rsid w:val="00910417"/>
    <w:rsid w:val="00913F2E"/>
    <w:rsid w:val="00915666"/>
    <w:rsid w:val="00925F28"/>
    <w:rsid w:val="0092634C"/>
    <w:rsid w:val="00932F50"/>
    <w:rsid w:val="009336A1"/>
    <w:rsid w:val="00935296"/>
    <w:rsid w:val="00940B6B"/>
    <w:rsid w:val="009416BA"/>
    <w:rsid w:val="009507BE"/>
    <w:rsid w:val="009534DB"/>
    <w:rsid w:val="00955CEF"/>
    <w:rsid w:val="009631EF"/>
    <w:rsid w:val="00970B0D"/>
    <w:rsid w:val="0097180A"/>
    <w:rsid w:val="00974978"/>
    <w:rsid w:val="009753E3"/>
    <w:rsid w:val="0097724E"/>
    <w:rsid w:val="00977AA4"/>
    <w:rsid w:val="0098372F"/>
    <w:rsid w:val="00986258"/>
    <w:rsid w:val="00987E11"/>
    <w:rsid w:val="009926E8"/>
    <w:rsid w:val="00996836"/>
    <w:rsid w:val="00997D9A"/>
    <w:rsid w:val="009A2899"/>
    <w:rsid w:val="009B28E2"/>
    <w:rsid w:val="009B5A9B"/>
    <w:rsid w:val="009B79B8"/>
    <w:rsid w:val="009C2C81"/>
    <w:rsid w:val="009C5D75"/>
    <w:rsid w:val="009D21A6"/>
    <w:rsid w:val="009D2324"/>
    <w:rsid w:val="009D5E94"/>
    <w:rsid w:val="009D6747"/>
    <w:rsid w:val="009E4B1F"/>
    <w:rsid w:val="009E4B73"/>
    <w:rsid w:val="009E6375"/>
    <w:rsid w:val="009F2F29"/>
    <w:rsid w:val="009F7A2F"/>
    <w:rsid w:val="00A009E1"/>
    <w:rsid w:val="00A00D7E"/>
    <w:rsid w:val="00A01EFA"/>
    <w:rsid w:val="00A035CA"/>
    <w:rsid w:val="00A06007"/>
    <w:rsid w:val="00A0651B"/>
    <w:rsid w:val="00A12757"/>
    <w:rsid w:val="00A159EF"/>
    <w:rsid w:val="00A17958"/>
    <w:rsid w:val="00A207B5"/>
    <w:rsid w:val="00A208DC"/>
    <w:rsid w:val="00A20909"/>
    <w:rsid w:val="00A20A61"/>
    <w:rsid w:val="00A23C9C"/>
    <w:rsid w:val="00A251B5"/>
    <w:rsid w:val="00A25C50"/>
    <w:rsid w:val="00A30785"/>
    <w:rsid w:val="00A31FA8"/>
    <w:rsid w:val="00A35649"/>
    <w:rsid w:val="00A37F8F"/>
    <w:rsid w:val="00A4085A"/>
    <w:rsid w:val="00A443FC"/>
    <w:rsid w:val="00A51938"/>
    <w:rsid w:val="00A52E05"/>
    <w:rsid w:val="00A54318"/>
    <w:rsid w:val="00A549BD"/>
    <w:rsid w:val="00A549D5"/>
    <w:rsid w:val="00A566AF"/>
    <w:rsid w:val="00A67DFE"/>
    <w:rsid w:val="00A7113A"/>
    <w:rsid w:val="00A72587"/>
    <w:rsid w:val="00A72F6F"/>
    <w:rsid w:val="00A73849"/>
    <w:rsid w:val="00A73D81"/>
    <w:rsid w:val="00A76355"/>
    <w:rsid w:val="00A85523"/>
    <w:rsid w:val="00A916DE"/>
    <w:rsid w:val="00A9456A"/>
    <w:rsid w:val="00A95040"/>
    <w:rsid w:val="00A97796"/>
    <w:rsid w:val="00AA3FBC"/>
    <w:rsid w:val="00AA6293"/>
    <w:rsid w:val="00AA6A6B"/>
    <w:rsid w:val="00AA7A98"/>
    <w:rsid w:val="00AB017F"/>
    <w:rsid w:val="00AB2518"/>
    <w:rsid w:val="00AB4172"/>
    <w:rsid w:val="00AB41D9"/>
    <w:rsid w:val="00AB4255"/>
    <w:rsid w:val="00AB665B"/>
    <w:rsid w:val="00AB6FAA"/>
    <w:rsid w:val="00AB7B1B"/>
    <w:rsid w:val="00AC0813"/>
    <w:rsid w:val="00AC33DF"/>
    <w:rsid w:val="00AC4177"/>
    <w:rsid w:val="00AD02BA"/>
    <w:rsid w:val="00AD06FB"/>
    <w:rsid w:val="00AD15A1"/>
    <w:rsid w:val="00AD16F4"/>
    <w:rsid w:val="00AE18B8"/>
    <w:rsid w:val="00AE2382"/>
    <w:rsid w:val="00AE3906"/>
    <w:rsid w:val="00AF015F"/>
    <w:rsid w:val="00AF0A28"/>
    <w:rsid w:val="00AF6AF6"/>
    <w:rsid w:val="00AF7EB3"/>
    <w:rsid w:val="00B0067C"/>
    <w:rsid w:val="00B03FC1"/>
    <w:rsid w:val="00B116C2"/>
    <w:rsid w:val="00B12062"/>
    <w:rsid w:val="00B125B6"/>
    <w:rsid w:val="00B14AEC"/>
    <w:rsid w:val="00B20176"/>
    <w:rsid w:val="00B23FF1"/>
    <w:rsid w:val="00B24F19"/>
    <w:rsid w:val="00B325F6"/>
    <w:rsid w:val="00B33E18"/>
    <w:rsid w:val="00B35394"/>
    <w:rsid w:val="00B36EB3"/>
    <w:rsid w:val="00B40915"/>
    <w:rsid w:val="00B40C7C"/>
    <w:rsid w:val="00B42561"/>
    <w:rsid w:val="00B4387E"/>
    <w:rsid w:val="00B43936"/>
    <w:rsid w:val="00B4472C"/>
    <w:rsid w:val="00B44A58"/>
    <w:rsid w:val="00B45365"/>
    <w:rsid w:val="00B4591F"/>
    <w:rsid w:val="00B463ED"/>
    <w:rsid w:val="00B51945"/>
    <w:rsid w:val="00B522E2"/>
    <w:rsid w:val="00B53F07"/>
    <w:rsid w:val="00B54C23"/>
    <w:rsid w:val="00B55BC8"/>
    <w:rsid w:val="00B63829"/>
    <w:rsid w:val="00B63CEE"/>
    <w:rsid w:val="00B6557A"/>
    <w:rsid w:val="00B65842"/>
    <w:rsid w:val="00B65F7A"/>
    <w:rsid w:val="00B67A1E"/>
    <w:rsid w:val="00B760FF"/>
    <w:rsid w:val="00B766F9"/>
    <w:rsid w:val="00B770F6"/>
    <w:rsid w:val="00B774D3"/>
    <w:rsid w:val="00B81835"/>
    <w:rsid w:val="00B848DA"/>
    <w:rsid w:val="00B87C87"/>
    <w:rsid w:val="00B918AC"/>
    <w:rsid w:val="00B94D93"/>
    <w:rsid w:val="00B951F7"/>
    <w:rsid w:val="00B95AC0"/>
    <w:rsid w:val="00B95B54"/>
    <w:rsid w:val="00BA74C4"/>
    <w:rsid w:val="00BA7CD0"/>
    <w:rsid w:val="00BB553E"/>
    <w:rsid w:val="00BB5E4C"/>
    <w:rsid w:val="00BB689C"/>
    <w:rsid w:val="00BB7513"/>
    <w:rsid w:val="00BB770C"/>
    <w:rsid w:val="00BC0F4E"/>
    <w:rsid w:val="00BC30D1"/>
    <w:rsid w:val="00BC3E62"/>
    <w:rsid w:val="00BC4C26"/>
    <w:rsid w:val="00BD1040"/>
    <w:rsid w:val="00BD2381"/>
    <w:rsid w:val="00BD3753"/>
    <w:rsid w:val="00BD3FB7"/>
    <w:rsid w:val="00BD4701"/>
    <w:rsid w:val="00BD6C63"/>
    <w:rsid w:val="00BD78A0"/>
    <w:rsid w:val="00BE2474"/>
    <w:rsid w:val="00BF05F3"/>
    <w:rsid w:val="00BF4637"/>
    <w:rsid w:val="00BF5F5E"/>
    <w:rsid w:val="00BF75ED"/>
    <w:rsid w:val="00C0094C"/>
    <w:rsid w:val="00C02066"/>
    <w:rsid w:val="00C03B88"/>
    <w:rsid w:val="00C04FA7"/>
    <w:rsid w:val="00C100BC"/>
    <w:rsid w:val="00C15713"/>
    <w:rsid w:val="00C1745F"/>
    <w:rsid w:val="00C224DE"/>
    <w:rsid w:val="00C239E6"/>
    <w:rsid w:val="00C23BD3"/>
    <w:rsid w:val="00C24086"/>
    <w:rsid w:val="00C31130"/>
    <w:rsid w:val="00C3241A"/>
    <w:rsid w:val="00C33392"/>
    <w:rsid w:val="00C377DA"/>
    <w:rsid w:val="00C42A0D"/>
    <w:rsid w:val="00C42CCC"/>
    <w:rsid w:val="00C45856"/>
    <w:rsid w:val="00C45F5E"/>
    <w:rsid w:val="00C46B78"/>
    <w:rsid w:val="00C47324"/>
    <w:rsid w:val="00C51698"/>
    <w:rsid w:val="00C51AC3"/>
    <w:rsid w:val="00C54EF8"/>
    <w:rsid w:val="00C5575C"/>
    <w:rsid w:val="00C557CA"/>
    <w:rsid w:val="00C64AE9"/>
    <w:rsid w:val="00C654D2"/>
    <w:rsid w:val="00C70808"/>
    <w:rsid w:val="00C71992"/>
    <w:rsid w:val="00C7446A"/>
    <w:rsid w:val="00C74670"/>
    <w:rsid w:val="00C7499F"/>
    <w:rsid w:val="00C74CFC"/>
    <w:rsid w:val="00C779DF"/>
    <w:rsid w:val="00C81720"/>
    <w:rsid w:val="00C82044"/>
    <w:rsid w:val="00C83214"/>
    <w:rsid w:val="00C84382"/>
    <w:rsid w:val="00C849A4"/>
    <w:rsid w:val="00C90114"/>
    <w:rsid w:val="00C910C0"/>
    <w:rsid w:val="00C9496B"/>
    <w:rsid w:val="00C965B6"/>
    <w:rsid w:val="00C96B3B"/>
    <w:rsid w:val="00CA0C16"/>
    <w:rsid w:val="00CA133D"/>
    <w:rsid w:val="00CA5646"/>
    <w:rsid w:val="00CA6686"/>
    <w:rsid w:val="00CA6F13"/>
    <w:rsid w:val="00CA7F64"/>
    <w:rsid w:val="00CB0414"/>
    <w:rsid w:val="00CB600E"/>
    <w:rsid w:val="00CC1944"/>
    <w:rsid w:val="00CC4CE2"/>
    <w:rsid w:val="00CC5854"/>
    <w:rsid w:val="00CD2182"/>
    <w:rsid w:val="00CD2CDB"/>
    <w:rsid w:val="00CE0D00"/>
    <w:rsid w:val="00CE29BE"/>
    <w:rsid w:val="00CE33C3"/>
    <w:rsid w:val="00CE38EA"/>
    <w:rsid w:val="00CE3AB8"/>
    <w:rsid w:val="00CF0947"/>
    <w:rsid w:val="00CF31BC"/>
    <w:rsid w:val="00CF535D"/>
    <w:rsid w:val="00CF56B2"/>
    <w:rsid w:val="00CF6FB7"/>
    <w:rsid w:val="00D00006"/>
    <w:rsid w:val="00D01C16"/>
    <w:rsid w:val="00D05264"/>
    <w:rsid w:val="00D05CEE"/>
    <w:rsid w:val="00D103DC"/>
    <w:rsid w:val="00D14A10"/>
    <w:rsid w:val="00D1783B"/>
    <w:rsid w:val="00D300EE"/>
    <w:rsid w:val="00D30B74"/>
    <w:rsid w:val="00D312C5"/>
    <w:rsid w:val="00D32081"/>
    <w:rsid w:val="00D329C7"/>
    <w:rsid w:val="00D32C3A"/>
    <w:rsid w:val="00D33771"/>
    <w:rsid w:val="00D34A11"/>
    <w:rsid w:val="00D34B5E"/>
    <w:rsid w:val="00D34B78"/>
    <w:rsid w:val="00D37C18"/>
    <w:rsid w:val="00D40A1D"/>
    <w:rsid w:val="00D43BA3"/>
    <w:rsid w:val="00D45764"/>
    <w:rsid w:val="00D46845"/>
    <w:rsid w:val="00D46EC2"/>
    <w:rsid w:val="00D5160D"/>
    <w:rsid w:val="00D52E24"/>
    <w:rsid w:val="00D5474F"/>
    <w:rsid w:val="00D5542E"/>
    <w:rsid w:val="00D56166"/>
    <w:rsid w:val="00D603E0"/>
    <w:rsid w:val="00D62613"/>
    <w:rsid w:val="00D63D11"/>
    <w:rsid w:val="00D641B8"/>
    <w:rsid w:val="00D70842"/>
    <w:rsid w:val="00D7398E"/>
    <w:rsid w:val="00D7622B"/>
    <w:rsid w:val="00D76D76"/>
    <w:rsid w:val="00D806E7"/>
    <w:rsid w:val="00D8486A"/>
    <w:rsid w:val="00D87825"/>
    <w:rsid w:val="00D916C4"/>
    <w:rsid w:val="00D9732D"/>
    <w:rsid w:val="00D97ECA"/>
    <w:rsid w:val="00DA5E00"/>
    <w:rsid w:val="00DA72CE"/>
    <w:rsid w:val="00DB3FC3"/>
    <w:rsid w:val="00DB68AD"/>
    <w:rsid w:val="00DC0F17"/>
    <w:rsid w:val="00DC464B"/>
    <w:rsid w:val="00DC6505"/>
    <w:rsid w:val="00DD0CED"/>
    <w:rsid w:val="00DD53A3"/>
    <w:rsid w:val="00DD6552"/>
    <w:rsid w:val="00DD75BE"/>
    <w:rsid w:val="00DE0D08"/>
    <w:rsid w:val="00DE5B96"/>
    <w:rsid w:val="00DE5BCF"/>
    <w:rsid w:val="00DE64CF"/>
    <w:rsid w:val="00DE6F00"/>
    <w:rsid w:val="00DE7C50"/>
    <w:rsid w:val="00DF113A"/>
    <w:rsid w:val="00DF6281"/>
    <w:rsid w:val="00E004D1"/>
    <w:rsid w:val="00E00E98"/>
    <w:rsid w:val="00E0290C"/>
    <w:rsid w:val="00E03ECC"/>
    <w:rsid w:val="00E12504"/>
    <w:rsid w:val="00E13BE6"/>
    <w:rsid w:val="00E149A1"/>
    <w:rsid w:val="00E17C94"/>
    <w:rsid w:val="00E21E61"/>
    <w:rsid w:val="00E23E29"/>
    <w:rsid w:val="00E2412B"/>
    <w:rsid w:val="00E312D4"/>
    <w:rsid w:val="00E328AE"/>
    <w:rsid w:val="00E37F05"/>
    <w:rsid w:val="00E37FA8"/>
    <w:rsid w:val="00E4345B"/>
    <w:rsid w:val="00E46165"/>
    <w:rsid w:val="00E529CD"/>
    <w:rsid w:val="00E54151"/>
    <w:rsid w:val="00E55120"/>
    <w:rsid w:val="00E55663"/>
    <w:rsid w:val="00E576B8"/>
    <w:rsid w:val="00E6169A"/>
    <w:rsid w:val="00E61F2C"/>
    <w:rsid w:val="00E664D9"/>
    <w:rsid w:val="00E67FE5"/>
    <w:rsid w:val="00E70A3B"/>
    <w:rsid w:val="00E7114C"/>
    <w:rsid w:val="00E724CC"/>
    <w:rsid w:val="00E75768"/>
    <w:rsid w:val="00E77AE0"/>
    <w:rsid w:val="00E77B68"/>
    <w:rsid w:val="00E80962"/>
    <w:rsid w:val="00E80AA4"/>
    <w:rsid w:val="00E80E2B"/>
    <w:rsid w:val="00E81D9F"/>
    <w:rsid w:val="00E84E5F"/>
    <w:rsid w:val="00E87BE0"/>
    <w:rsid w:val="00E90ED8"/>
    <w:rsid w:val="00E92EDD"/>
    <w:rsid w:val="00E96D23"/>
    <w:rsid w:val="00E97418"/>
    <w:rsid w:val="00EA050D"/>
    <w:rsid w:val="00EA1E0C"/>
    <w:rsid w:val="00EA2E15"/>
    <w:rsid w:val="00EA3B35"/>
    <w:rsid w:val="00EA3B4D"/>
    <w:rsid w:val="00EA7598"/>
    <w:rsid w:val="00EB1C7E"/>
    <w:rsid w:val="00EB1E74"/>
    <w:rsid w:val="00EB29DB"/>
    <w:rsid w:val="00EB4C41"/>
    <w:rsid w:val="00EB77CC"/>
    <w:rsid w:val="00EC3774"/>
    <w:rsid w:val="00EC6176"/>
    <w:rsid w:val="00EC7613"/>
    <w:rsid w:val="00ED31C1"/>
    <w:rsid w:val="00ED3ACA"/>
    <w:rsid w:val="00EE01ED"/>
    <w:rsid w:val="00EE05AE"/>
    <w:rsid w:val="00EE14E4"/>
    <w:rsid w:val="00EE2AE7"/>
    <w:rsid w:val="00EE434B"/>
    <w:rsid w:val="00EE5BD2"/>
    <w:rsid w:val="00EE68E6"/>
    <w:rsid w:val="00EE6E23"/>
    <w:rsid w:val="00EE7D00"/>
    <w:rsid w:val="00EF1430"/>
    <w:rsid w:val="00EF3743"/>
    <w:rsid w:val="00F02A4D"/>
    <w:rsid w:val="00F0310E"/>
    <w:rsid w:val="00F04D31"/>
    <w:rsid w:val="00F10FE2"/>
    <w:rsid w:val="00F12029"/>
    <w:rsid w:val="00F12ED0"/>
    <w:rsid w:val="00F1491A"/>
    <w:rsid w:val="00F16693"/>
    <w:rsid w:val="00F20391"/>
    <w:rsid w:val="00F247BA"/>
    <w:rsid w:val="00F249C2"/>
    <w:rsid w:val="00F24EB0"/>
    <w:rsid w:val="00F37B39"/>
    <w:rsid w:val="00F4244E"/>
    <w:rsid w:val="00F42B70"/>
    <w:rsid w:val="00F47909"/>
    <w:rsid w:val="00F511C4"/>
    <w:rsid w:val="00F536FC"/>
    <w:rsid w:val="00F541B0"/>
    <w:rsid w:val="00F55816"/>
    <w:rsid w:val="00F56681"/>
    <w:rsid w:val="00F6119D"/>
    <w:rsid w:val="00F70BC5"/>
    <w:rsid w:val="00F71C25"/>
    <w:rsid w:val="00F73862"/>
    <w:rsid w:val="00F77906"/>
    <w:rsid w:val="00F81C48"/>
    <w:rsid w:val="00F84065"/>
    <w:rsid w:val="00F84285"/>
    <w:rsid w:val="00F904FF"/>
    <w:rsid w:val="00F920F5"/>
    <w:rsid w:val="00F925F3"/>
    <w:rsid w:val="00FA626E"/>
    <w:rsid w:val="00FB0B32"/>
    <w:rsid w:val="00FC323C"/>
    <w:rsid w:val="00FD2579"/>
    <w:rsid w:val="00FD34FA"/>
    <w:rsid w:val="00FD66D9"/>
    <w:rsid w:val="00FE11D8"/>
    <w:rsid w:val="00FE681E"/>
    <w:rsid w:val="00FE7D2D"/>
    <w:rsid w:val="010356B7"/>
    <w:rsid w:val="017D7737"/>
    <w:rsid w:val="01E6312D"/>
    <w:rsid w:val="01EB68FC"/>
    <w:rsid w:val="02544EC5"/>
    <w:rsid w:val="02FC3896"/>
    <w:rsid w:val="034A13F4"/>
    <w:rsid w:val="03996E3F"/>
    <w:rsid w:val="03A367D0"/>
    <w:rsid w:val="03F05DA5"/>
    <w:rsid w:val="03F4527E"/>
    <w:rsid w:val="04572531"/>
    <w:rsid w:val="04675F49"/>
    <w:rsid w:val="04C74740"/>
    <w:rsid w:val="058B6D46"/>
    <w:rsid w:val="05A27CEE"/>
    <w:rsid w:val="05AD7DDA"/>
    <w:rsid w:val="06314567"/>
    <w:rsid w:val="06B93C26"/>
    <w:rsid w:val="075B0F65"/>
    <w:rsid w:val="07710416"/>
    <w:rsid w:val="0822369B"/>
    <w:rsid w:val="08536A17"/>
    <w:rsid w:val="08600B65"/>
    <w:rsid w:val="08DC7A2A"/>
    <w:rsid w:val="0914155A"/>
    <w:rsid w:val="093D3223"/>
    <w:rsid w:val="0982073D"/>
    <w:rsid w:val="099B6F9D"/>
    <w:rsid w:val="09E70C4A"/>
    <w:rsid w:val="0A05513D"/>
    <w:rsid w:val="0A5A6688"/>
    <w:rsid w:val="0AE24082"/>
    <w:rsid w:val="0B1D7F2A"/>
    <w:rsid w:val="0B834620"/>
    <w:rsid w:val="0BC47497"/>
    <w:rsid w:val="0BF8495C"/>
    <w:rsid w:val="0C1C5EEF"/>
    <w:rsid w:val="0CE006D8"/>
    <w:rsid w:val="0D13424E"/>
    <w:rsid w:val="0D404BBC"/>
    <w:rsid w:val="0D4C4D94"/>
    <w:rsid w:val="0DBA0742"/>
    <w:rsid w:val="0E281D5E"/>
    <w:rsid w:val="0ED91D0F"/>
    <w:rsid w:val="0F0942D3"/>
    <w:rsid w:val="0F3479B4"/>
    <w:rsid w:val="0F9C6DE1"/>
    <w:rsid w:val="104650B3"/>
    <w:rsid w:val="10572BB3"/>
    <w:rsid w:val="10B055CD"/>
    <w:rsid w:val="11BC340E"/>
    <w:rsid w:val="11C42319"/>
    <w:rsid w:val="13556701"/>
    <w:rsid w:val="13DF1AA7"/>
    <w:rsid w:val="14135229"/>
    <w:rsid w:val="14222D50"/>
    <w:rsid w:val="149E726C"/>
    <w:rsid w:val="14B545B5"/>
    <w:rsid w:val="14B7278A"/>
    <w:rsid w:val="14F84D47"/>
    <w:rsid w:val="155E69FB"/>
    <w:rsid w:val="156100F4"/>
    <w:rsid w:val="1626576B"/>
    <w:rsid w:val="16A158F3"/>
    <w:rsid w:val="175736D9"/>
    <w:rsid w:val="18491BE4"/>
    <w:rsid w:val="190F4CC3"/>
    <w:rsid w:val="1AAF730B"/>
    <w:rsid w:val="1BA675B9"/>
    <w:rsid w:val="1CF71C7A"/>
    <w:rsid w:val="1E366398"/>
    <w:rsid w:val="1FAF1CE7"/>
    <w:rsid w:val="202E11BC"/>
    <w:rsid w:val="2096633F"/>
    <w:rsid w:val="20B414E4"/>
    <w:rsid w:val="20C20786"/>
    <w:rsid w:val="2171202A"/>
    <w:rsid w:val="22002112"/>
    <w:rsid w:val="22885B86"/>
    <w:rsid w:val="22DE2AD5"/>
    <w:rsid w:val="23661D7C"/>
    <w:rsid w:val="23C05002"/>
    <w:rsid w:val="23E6731F"/>
    <w:rsid w:val="24A563F4"/>
    <w:rsid w:val="24C90DD4"/>
    <w:rsid w:val="25FD09D9"/>
    <w:rsid w:val="2652435A"/>
    <w:rsid w:val="26A86327"/>
    <w:rsid w:val="271138CD"/>
    <w:rsid w:val="273B57ED"/>
    <w:rsid w:val="27A74232"/>
    <w:rsid w:val="27D713C8"/>
    <w:rsid w:val="2916554F"/>
    <w:rsid w:val="29220AB1"/>
    <w:rsid w:val="293076F8"/>
    <w:rsid w:val="29452A44"/>
    <w:rsid w:val="298E37B5"/>
    <w:rsid w:val="2A595197"/>
    <w:rsid w:val="2AA72855"/>
    <w:rsid w:val="2ACC06D1"/>
    <w:rsid w:val="2BA41D4A"/>
    <w:rsid w:val="2BF33EE9"/>
    <w:rsid w:val="2D4C6BF7"/>
    <w:rsid w:val="2D5552B6"/>
    <w:rsid w:val="2E487788"/>
    <w:rsid w:val="2ED24C32"/>
    <w:rsid w:val="2EE729AB"/>
    <w:rsid w:val="2F107C06"/>
    <w:rsid w:val="2FB03AFB"/>
    <w:rsid w:val="3048473A"/>
    <w:rsid w:val="308C0468"/>
    <w:rsid w:val="309F63EE"/>
    <w:rsid w:val="30F754F2"/>
    <w:rsid w:val="314942A1"/>
    <w:rsid w:val="31575896"/>
    <w:rsid w:val="31832BA0"/>
    <w:rsid w:val="32DB0CC5"/>
    <w:rsid w:val="33D55B50"/>
    <w:rsid w:val="33DC449A"/>
    <w:rsid w:val="34146C6D"/>
    <w:rsid w:val="34406887"/>
    <w:rsid w:val="34596CAE"/>
    <w:rsid w:val="353512F9"/>
    <w:rsid w:val="354808AB"/>
    <w:rsid w:val="356F44CC"/>
    <w:rsid w:val="36F561F5"/>
    <w:rsid w:val="37FF50FC"/>
    <w:rsid w:val="380E534A"/>
    <w:rsid w:val="393B616F"/>
    <w:rsid w:val="393D2C48"/>
    <w:rsid w:val="398156D7"/>
    <w:rsid w:val="3A6A7A6C"/>
    <w:rsid w:val="3AAB598F"/>
    <w:rsid w:val="3BE1304A"/>
    <w:rsid w:val="3D9D5A63"/>
    <w:rsid w:val="3E04281F"/>
    <w:rsid w:val="3E14789A"/>
    <w:rsid w:val="3E9C115F"/>
    <w:rsid w:val="3F23643C"/>
    <w:rsid w:val="3F55121F"/>
    <w:rsid w:val="3F6A2C89"/>
    <w:rsid w:val="3F6F78D3"/>
    <w:rsid w:val="3FB703BD"/>
    <w:rsid w:val="401A04CC"/>
    <w:rsid w:val="40B76E3C"/>
    <w:rsid w:val="4117226B"/>
    <w:rsid w:val="416074D3"/>
    <w:rsid w:val="418958C7"/>
    <w:rsid w:val="42897B25"/>
    <w:rsid w:val="42B15B0D"/>
    <w:rsid w:val="42E45EE2"/>
    <w:rsid w:val="43120CA1"/>
    <w:rsid w:val="43794535"/>
    <w:rsid w:val="45B91EE5"/>
    <w:rsid w:val="467D66D8"/>
    <w:rsid w:val="46831D3A"/>
    <w:rsid w:val="4703181C"/>
    <w:rsid w:val="47DB3D58"/>
    <w:rsid w:val="48197370"/>
    <w:rsid w:val="486F6797"/>
    <w:rsid w:val="49965FC8"/>
    <w:rsid w:val="49DB5E2A"/>
    <w:rsid w:val="4ABC251C"/>
    <w:rsid w:val="4B466132"/>
    <w:rsid w:val="4BAA0AAD"/>
    <w:rsid w:val="4BBC2425"/>
    <w:rsid w:val="4BC17C5C"/>
    <w:rsid w:val="4C345A2C"/>
    <w:rsid w:val="4DB9335A"/>
    <w:rsid w:val="4DD637A3"/>
    <w:rsid w:val="4EFE20DA"/>
    <w:rsid w:val="4FCB46B2"/>
    <w:rsid w:val="4FCE1E18"/>
    <w:rsid w:val="4FF42BDF"/>
    <w:rsid w:val="50790FCF"/>
    <w:rsid w:val="508C3883"/>
    <w:rsid w:val="51E8110B"/>
    <w:rsid w:val="51ED51B2"/>
    <w:rsid w:val="53362C11"/>
    <w:rsid w:val="53CB6987"/>
    <w:rsid w:val="53F85BCC"/>
    <w:rsid w:val="54FE4BE1"/>
    <w:rsid w:val="55A37A3E"/>
    <w:rsid w:val="55A70A1D"/>
    <w:rsid w:val="5722007E"/>
    <w:rsid w:val="57DC5599"/>
    <w:rsid w:val="58CD1FA8"/>
    <w:rsid w:val="58D63968"/>
    <w:rsid w:val="5975743C"/>
    <w:rsid w:val="59874473"/>
    <w:rsid w:val="5BE11D94"/>
    <w:rsid w:val="5BEB5897"/>
    <w:rsid w:val="5C7F7FB1"/>
    <w:rsid w:val="5C8E0643"/>
    <w:rsid w:val="5D2E002E"/>
    <w:rsid w:val="5D667F58"/>
    <w:rsid w:val="5D6724E9"/>
    <w:rsid w:val="5D941BF1"/>
    <w:rsid w:val="5DD60BD4"/>
    <w:rsid w:val="5DDE2CEB"/>
    <w:rsid w:val="5E7D0711"/>
    <w:rsid w:val="5F2B797E"/>
    <w:rsid w:val="5F526965"/>
    <w:rsid w:val="60AD2EFE"/>
    <w:rsid w:val="60F577E0"/>
    <w:rsid w:val="611D5099"/>
    <w:rsid w:val="616F3268"/>
    <w:rsid w:val="62143C96"/>
    <w:rsid w:val="636E04AF"/>
    <w:rsid w:val="6384776B"/>
    <w:rsid w:val="64081567"/>
    <w:rsid w:val="640A0015"/>
    <w:rsid w:val="641C55CA"/>
    <w:rsid w:val="64B655B6"/>
    <w:rsid w:val="65E17F1D"/>
    <w:rsid w:val="66063A14"/>
    <w:rsid w:val="662B1BB1"/>
    <w:rsid w:val="666E44D5"/>
    <w:rsid w:val="680417E0"/>
    <w:rsid w:val="6874027B"/>
    <w:rsid w:val="68C12D87"/>
    <w:rsid w:val="69761612"/>
    <w:rsid w:val="69B728B3"/>
    <w:rsid w:val="69C51D1A"/>
    <w:rsid w:val="69D73188"/>
    <w:rsid w:val="6A1A66A8"/>
    <w:rsid w:val="6A1F0C96"/>
    <w:rsid w:val="6A6815C7"/>
    <w:rsid w:val="6A7A2B04"/>
    <w:rsid w:val="6A8353C1"/>
    <w:rsid w:val="6AEE6155"/>
    <w:rsid w:val="6B471AC2"/>
    <w:rsid w:val="6BAC34E2"/>
    <w:rsid w:val="6BF32B6E"/>
    <w:rsid w:val="6CF21C5D"/>
    <w:rsid w:val="6D0843F7"/>
    <w:rsid w:val="6D3B6AE6"/>
    <w:rsid w:val="6D5E2BAD"/>
    <w:rsid w:val="6EB105AA"/>
    <w:rsid w:val="6EF32018"/>
    <w:rsid w:val="6F1F43BF"/>
    <w:rsid w:val="6FA04DBB"/>
    <w:rsid w:val="6FE26324"/>
    <w:rsid w:val="70036A46"/>
    <w:rsid w:val="7057720C"/>
    <w:rsid w:val="70A21EE6"/>
    <w:rsid w:val="70E64A50"/>
    <w:rsid w:val="70EF1CC6"/>
    <w:rsid w:val="70FE54F9"/>
    <w:rsid w:val="7202306F"/>
    <w:rsid w:val="722C02D0"/>
    <w:rsid w:val="74371495"/>
    <w:rsid w:val="74AF5AA0"/>
    <w:rsid w:val="74B60BDD"/>
    <w:rsid w:val="75351302"/>
    <w:rsid w:val="75784655"/>
    <w:rsid w:val="769C55E1"/>
    <w:rsid w:val="76CF27C0"/>
    <w:rsid w:val="770C25DD"/>
    <w:rsid w:val="771147F0"/>
    <w:rsid w:val="77D5456F"/>
    <w:rsid w:val="77ED0DBA"/>
    <w:rsid w:val="7916498B"/>
    <w:rsid w:val="79443502"/>
    <w:rsid w:val="796B643A"/>
    <w:rsid w:val="797F6D29"/>
    <w:rsid w:val="79983E9C"/>
    <w:rsid w:val="79EF238F"/>
    <w:rsid w:val="7A2860D9"/>
    <w:rsid w:val="7B9A3006"/>
    <w:rsid w:val="7BC704DA"/>
    <w:rsid w:val="7BFE3B42"/>
    <w:rsid w:val="7DA043BF"/>
    <w:rsid w:val="7E117697"/>
    <w:rsid w:val="7E154A6C"/>
    <w:rsid w:val="7EA64989"/>
    <w:rsid w:val="7EA7009E"/>
    <w:rsid w:val="7F037115"/>
    <w:rsid w:val="7F3B33BF"/>
    <w:rsid w:val="7F731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0" w:semiHidden="0" w:name="footer"/>
    <w:lsdException w:qFormat="1" w:unhideWhenUsed="0" w:uiPriority="0"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8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2"/>
    <w:qFormat/>
    <w:uiPriority w:val="0"/>
    <w:pPr>
      <w:keepNext/>
      <w:keepLines/>
      <w:widowControl/>
      <w:snapToGrid w:val="0"/>
      <w:spacing w:line="360" w:lineRule="auto"/>
      <w:jc w:val="left"/>
      <w:outlineLvl w:val="1"/>
    </w:pPr>
    <w:rPr>
      <w:rFonts w:cs="宋体" w:asciiTheme="minorEastAsia" w:hAnsiTheme="minorEastAsia" w:eastAsiaTheme="minorEastAsia"/>
      <w:b/>
      <w:bCs/>
      <w:kern w:val="0"/>
      <w:szCs w:val="21"/>
    </w:rPr>
  </w:style>
  <w:style w:type="paragraph" w:styleId="5">
    <w:name w:val="heading 3"/>
    <w:basedOn w:val="1"/>
    <w:next w:val="1"/>
    <w:link w:val="35"/>
    <w:qFormat/>
    <w:uiPriority w:val="0"/>
    <w:pPr>
      <w:keepNext/>
      <w:keepLines/>
      <w:spacing w:before="260" w:after="260" w:line="416" w:lineRule="auto"/>
      <w:outlineLvl w:val="2"/>
    </w:pPr>
    <w:rPr>
      <w:b/>
      <w:bCs/>
      <w:sz w:val="32"/>
      <w:szCs w:val="32"/>
    </w:rPr>
  </w:style>
  <w:style w:type="paragraph" w:styleId="2">
    <w:name w:val="heading 4"/>
    <w:basedOn w:val="1"/>
    <w:next w:val="1"/>
    <w:link w:val="41"/>
    <w:qFormat/>
    <w:uiPriority w:val="9"/>
    <w:pPr>
      <w:keepNext/>
      <w:keepLines/>
      <w:spacing w:before="280" w:after="290" w:line="376" w:lineRule="auto"/>
      <w:outlineLvl w:val="3"/>
    </w:pPr>
    <w:rPr>
      <w:rFonts w:ascii="Cambria" w:hAnsi="Cambria"/>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table of authorities"/>
    <w:basedOn w:val="1"/>
    <w:next w:val="1"/>
    <w:unhideWhenUsed/>
    <w:qFormat/>
    <w:uiPriority w:val="0"/>
    <w:pPr>
      <w:ind w:left="420" w:leftChars="200"/>
    </w:pPr>
  </w:style>
  <w:style w:type="paragraph" w:styleId="7">
    <w:name w:val="Normal Indent"/>
    <w:basedOn w:val="1"/>
    <w:link w:val="31"/>
    <w:qFormat/>
    <w:uiPriority w:val="0"/>
    <w:pPr>
      <w:ind w:firstLine="420" w:firstLineChars="200"/>
    </w:pPr>
    <w:rPr>
      <w:szCs w:val="24"/>
    </w:rPr>
  </w:style>
  <w:style w:type="paragraph" w:styleId="8">
    <w:name w:val="caption"/>
    <w:basedOn w:val="1"/>
    <w:next w:val="1"/>
    <w:qFormat/>
    <w:uiPriority w:val="35"/>
    <w:rPr>
      <w:rFonts w:ascii="Cambria" w:hAnsi="Cambria" w:eastAsia="黑体"/>
      <w:sz w:val="20"/>
      <w:szCs w:val="20"/>
    </w:rPr>
  </w:style>
  <w:style w:type="paragraph" w:styleId="9">
    <w:name w:val="annotation text"/>
    <w:basedOn w:val="1"/>
    <w:link w:val="45"/>
    <w:unhideWhenUsed/>
    <w:qFormat/>
    <w:uiPriority w:val="0"/>
    <w:pPr>
      <w:jc w:val="left"/>
    </w:pPr>
  </w:style>
  <w:style w:type="paragraph" w:styleId="10">
    <w:name w:val="Body Text 3"/>
    <w:basedOn w:val="1"/>
    <w:link w:val="39"/>
    <w:qFormat/>
    <w:uiPriority w:val="0"/>
    <w:pPr>
      <w:spacing w:after="120" w:line="360" w:lineRule="auto"/>
    </w:pPr>
    <w:rPr>
      <w:sz w:val="16"/>
      <w:szCs w:val="16"/>
    </w:rPr>
  </w:style>
  <w:style w:type="paragraph" w:styleId="11">
    <w:name w:val="Body Text"/>
    <w:basedOn w:val="1"/>
    <w:next w:val="12"/>
    <w:link w:val="43"/>
    <w:unhideWhenUsed/>
    <w:qFormat/>
    <w:uiPriority w:val="0"/>
    <w:pPr>
      <w:spacing w:after="120"/>
    </w:pPr>
  </w:style>
  <w:style w:type="paragraph" w:styleId="12">
    <w:name w:val="toc 4"/>
    <w:basedOn w:val="1"/>
    <w:next w:val="1"/>
    <w:qFormat/>
    <w:uiPriority w:val="0"/>
    <w:pPr>
      <w:spacing w:line="360" w:lineRule="auto"/>
      <w:ind w:left="720"/>
      <w:jc w:val="left"/>
    </w:pPr>
    <w:rPr>
      <w:sz w:val="18"/>
      <w:szCs w:val="18"/>
    </w:rPr>
  </w:style>
  <w:style w:type="paragraph" w:styleId="13">
    <w:name w:val="Plain Text"/>
    <w:basedOn w:val="1"/>
    <w:link w:val="46"/>
    <w:qFormat/>
    <w:uiPriority w:val="0"/>
    <w:pPr>
      <w:adjustRightInd w:val="0"/>
      <w:snapToGrid w:val="0"/>
      <w:spacing w:before="156" w:beforeLines="50" w:after="156" w:afterLines="50" w:line="360" w:lineRule="auto"/>
      <w:jc w:val="left"/>
      <w:outlineLvl w:val="1"/>
    </w:pPr>
    <w:rPr>
      <w:rFonts w:ascii="宋体" w:hAnsi="宋体"/>
      <w:b/>
      <w:kern w:val="0"/>
      <w:szCs w:val="21"/>
    </w:rPr>
  </w:style>
  <w:style w:type="paragraph" w:styleId="14">
    <w:name w:val="Body Text Indent 2"/>
    <w:basedOn w:val="1"/>
    <w:qFormat/>
    <w:uiPriority w:val="0"/>
    <w:pPr>
      <w:spacing w:after="120" w:line="480" w:lineRule="auto"/>
      <w:ind w:left="420" w:leftChars="200"/>
    </w:pPr>
  </w:style>
  <w:style w:type="paragraph" w:styleId="15">
    <w:name w:val="Balloon Text"/>
    <w:basedOn w:val="1"/>
    <w:link w:val="50"/>
    <w:unhideWhenUsed/>
    <w:qFormat/>
    <w:uiPriority w:val="99"/>
    <w:rPr>
      <w:sz w:val="18"/>
      <w:szCs w:val="18"/>
    </w:rPr>
  </w:style>
  <w:style w:type="paragraph" w:styleId="16">
    <w:name w:val="footer"/>
    <w:basedOn w:val="1"/>
    <w:link w:val="49"/>
    <w:unhideWhenUsed/>
    <w:qFormat/>
    <w:uiPriority w:val="0"/>
    <w:pPr>
      <w:tabs>
        <w:tab w:val="center" w:pos="4153"/>
        <w:tab w:val="right" w:pos="8306"/>
      </w:tabs>
      <w:snapToGrid w:val="0"/>
      <w:jc w:val="left"/>
    </w:pPr>
    <w:rPr>
      <w:sz w:val="18"/>
      <w:szCs w:val="18"/>
    </w:rPr>
  </w:style>
  <w:style w:type="paragraph" w:styleId="17">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index heading"/>
    <w:basedOn w:val="1"/>
    <w:next w:val="19"/>
    <w:semiHidden/>
    <w:qFormat/>
    <w:uiPriority w:val="0"/>
    <w:rPr>
      <w:rFonts w:ascii="Times New Roman" w:hAnsi="Times New Roman"/>
      <w:szCs w:val="20"/>
    </w:rPr>
  </w:style>
  <w:style w:type="paragraph" w:styleId="19">
    <w:name w:val="index 1"/>
    <w:basedOn w:val="1"/>
    <w:next w:val="1"/>
    <w:unhideWhenUsed/>
    <w:qFormat/>
    <w:uiPriority w:val="99"/>
  </w:style>
  <w:style w:type="paragraph" w:styleId="2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1">
    <w:name w:val="annotation subject"/>
    <w:basedOn w:val="9"/>
    <w:next w:val="9"/>
    <w:link w:val="47"/>
    <w:unhideWhenUsed/>
    <w:qFormat/>
    <w:uiPriority w:val="0"/>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page number"/>
    <w:basedOn w:val="24"/>
    <w:qFormat/>
    <w:uiPriority w:val="0"/>
  </w:style>
  <w:style w:type="character" w:styleId="27">
    <w:name w:val="Emphasis"/>
    <w:basedOn w:val="24"/>
    <w:qFormat/>
    <w:uiPriority w:val="20"/>
    <w:rPr>
      <w:i/>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customStyle="1" w:styleId="30">
    <w:name w:val="批注框文本 Char"/>
    <w:qFormat/>
    <w:uiPriority w:val="0"/>
    <w:rPr>
      <w:kern w:val="2"/>
      <w:sz w:val="18"/>
      <w:szCs w:val="18"/>
    </w:rPr>
  </w:style>
  <w:style w:type="character" w:customStyle="1" w:styleId="31">
    <w:name w:val="正文缩进 字符"/>
    <w:link w:val="7"/>
    <w:qFormat/>
    <w:uiPriority w:val="0"/>
    <w:rPr>
      <w:kern w:val="2"/>
      <w:sz w:val="21"/>
      <w:szCs w:val="24"/>
    </w:rPr>
  </w:style>
  <w:style w:type="character" w:customStyle="1" w:styleId="32">
    <w:name w:val="纯文本 Char1"/>
    <w:qFormat/>
    <w:uiPriority w:val="0"/>
    <w:rPr>
      <w:rFonts w:ascii="宋体" w:hAnsi="Courier New" w:cs="Courier New"/>
      <w:kern w:val="2"/>
      <w:sz w:val="21"/>
      <w:szCs w:val="21"/>
    </w:rPr>
  </w:style>
  <w:style w:type="character" w:customStyle="1" w:styleId="33">
    <w:name w:val="未处理的提及1"/>
    <w:unhideWhenUsed/>
    <w:qFormat/>
    <w:uiPriority w:val="99"/>
    <w:rPr>
      <w:color w:val="605E5C"/>
      <w:shd w:val="clear" w:color="auto" w:fill="E1DFDD"/>
    </w:rPr>
  </w:style>
  <w:style w:type="character" w:customStyle="1" w:styleId="34">
    <w:name w:val="页眉 字符"/>
    <w:qFormat/>
    <w:uiPriority w:val="99"/>
    <w:rPr>
      <w:sz w:val="18"/>
      <w:szCs w:val="18"/>
    </w:rPr>
  </w:style>
  <w:style w:type="character" w:customStyle="1" w:styleId="35">
    <w:name w:val="标题 3 字符1"/>
    <w:link w:val="5"/>
    <w:qFormat/>
    <w:uiPriority w:val="0"/>
    <w:rPr>
      <w:b/>
      <w:bCs/>
      <w:kern w:val="2"/>
      <w:sz w:val="32"/>
      <w:szCs w:val="32"/>
    </w:rPr>
  </w:style>
  <w:style w:type="character" w:customStyle="1" w:styleId="36">
    <w:name w:val="页眉 字符1"/>
    <w:link w:val="17"/>
    <w:qFormat/>
    <w:uiPriority w:val="0"/>
    <w:rPr>
      <w:kern w:val="2"/>
      <w:sz w:val="18"/>
      <w:szCs w:val="18"/>
    </w:rPr>
  </w:style>
  <w:style w:type="character" w:customStyle="1" w:styleId="37">
    <w:name w:val="标题 3 字符"/>
    <w:qFormat/>
    <w:uiPriority w:val="0"/>
    <w:rPr>
      <w:rFonts w:ascii="宋体"/>
      <w:b/>
      <w:kern w:val="2"/>
      <w:sz w:val="32"/>
      <w:szCs w:val="24"/>
    </w:rPr>
  </w:style>
  <w:style w:type="character" w:customStyle="1" w:styleId="38">
    <w:name w:val="标题 2 字符"/>
    <w:qFormat/>
    <w:uiPriority w:val="0"/>
    <w:rPr>
      <w:rFonts w:ascii="宋体"/>
      <w:kern w:val="2"/>
      <w:sz w:val="28"/>
      <w:szCs w:val="24"/>
      <w:u w:val="single"/>
    </w:rPr>
  </w:style>
  <w:style w:type="character" w:customStyle="1" w:styleId="39">
    <w:name w:val="正文文本 3 字符"/>
    <w:link w:val="10"/>
    <w:qFormat/>
    <w:uiPriority w:val="0"/>
    <w:rPr>
      <w:kern w:val="2"/>
      <w:sz w:val="16"/>
      <w:szCs w:val="16"/>
    </w:rPr>
  </w:style>
  <w:style w:type="character" w:customStyle="1" w:styleId="40">
    <w:name w:val="纯文本 字符"/>
    <w:qFormat/>
    <w:uiPriority w:val="0"/>
    <w:rPr>
      <w:rFonts w:ascii="宋体" w:hAnsi="Courier New"/>
      <w:kern w:val="2"/>
      <w:sz w:val="21"/>
      <w:szCs w:val="24"/>
    </w:rPr>
  </w:style>
  <w:style w:type="character" w:customStyle="1" w:styleId="41">
    <w:name w:val="标题 4 字符"/>
    <w:link w:val="2"/>
    <w:qFormat/>
    <w:uiPriority w:val="9"/>
    <w:rPr>
      <w:rFonts w:ascii="Cambria" w:hAnsi="Cambria"/>
      <w:b/>
      <w:bCs/>
      <w:kern w:val="2"/>
      <w:sz w:val="28"/>
      <w:szCs w:val="28"/>
    </w:rPr>
  </w:style>
  <w:style w:type="character" w:customStyle="1" w:styleId="42">
    <w:name w:val="标题 2 字符1"/>
    <w:link w:val="4"/>
    <w:qFormat/>
    <w:uiPriority w:val="0"/>
    <w:rPr>
      <w:rFonts w:cs="宋体" w:asciiTheme="minorEastAsia" w:hAnsiTheme="minorEastAsia" w:eastAsiaTheme="minorEastAsia"/>
      <w:b/>
      <w:bCs/>
      <w:sz w:val="21"/>
      <w:szCs w:val="21"/>
    </w:rPr>
  </w:style>
  <w:style w:type="character" w:customStyle="1" w:styleId="43">
    <w:name w:val="正文文本 字符"/>
    <w:link w:val="11"/>
    <w:qFormat/>
    <w:uiPriority w:val="0"/>
    <w:rPr>
      <w:kern w:val="2"/>
      <w:sz w:val="21"/>
      <w:szCs w:val="22"/>
    </w:rPr>
  </w:style>
  <w:style w:type="character" w:customStyle="1" w:styleId="44">
    <w:name w:val="页脚 字符"/>
    <w:qFormat/>
    <w:uiPriority w:val="0"/>
    <w:rPr>
      <w:sz w:val="18"/>
      <w:szCs w:val="18"/>
    </w:rPr>
  </w:style>
  <w:style w:type="character" w:customStyle="1" w:styleId="45">
    <w:name w:val="批注文字 字符"/>
    <w:link w:val="9"/>
    <w:qFormat/>
    <w:uiPriority w:val="0"/>
    <w:rPr>
      <w:kern w:val="2"/>
      <w:sz w:val="21"/>
      <w:szCs w:val="22"/>
    </w:rPr>
  </w:style>
  <w:style w:type="character" w:customStyle="1" w:styleId="46">
    <w:name w:val="纯文本 字符1"/>
    <w:link w:val="13"/>
    <w:qFormat/>
    <w:uiPriority w:val="0"/>
    <w:rPr>
      <w:rFonts w:ascii="宋体" w:hAnsi="宋体"/>
      <w:b/>
      <w:sz w:val="21"/>
      <w:szCs w:val="21"/>
    </w:rPr>
  </w:style>
  <w:style w:type="character" w:customStyle="1" w:styleId="47">
    <w:name w:val="批注主题 字符"/>
    <w:link w:val="21"/>
    <w:qFormat/>
    <w:uiPriority w:val="0"/>
    <w:rPr>
      <w:b/>
      <w:bCs/>
      <w:kern w:val="2"/>
      <w:sz w:val="21"/>
      <w:szCs w:val="22"/>
    </w:rPr>
  </w:style>
  <w:style w:type="character" w:customStyle="1" w:styleId="48">
    <w:name w:val="正文文本 3 Char1"/>
    <w:semiHidden/>
    <w:qFormat/>
    <w:uiPriority w:val="99"/>
    <w:rPr>
      <w:kern w:val="2"/>
      <w:sz w:val="16"/>
      <w:szCs w:val="16"/>
    </w:rPr>
  </w:style>
  <w:style w:type="character" w:customStyle="1" w:styleId="49">
    <w:name w:val="页脚 字符1"/>
    <w:link w:val="16"/>
    <w:qFormat/>
    <w:uiPriority w:val="0"/>
    <w:rPr>
      <w:kern w:val="2"/>
      <w:sz w:val="18"/>
      <w:szCs w:val="18"/>
    </w:rPr>
  </w:style>
  <w:style w:type="character" w:customStyle="1" w:styleId="50">
    <w:name w:val="批注框文本 字符"/>
    <w:link w:val="15"/>
    <w:qFormat/>
    <w:uiPriority w:val="99"/>
    <w:rPr>
      <w:kern w:val="2"/>
      <w:sz w:val="18"/>
      <w:szCs w:val="18"/>
    </w:rPr>
  </w:style>
  <w:style w:type="paragraph" w:customStyle="1" w:styleId="51">
    <w:name w:val="表格文字"/>
    <w:basedOn w:val="1"/>
    <w:qFormat/>
    <w:uiPriority w:val="0"/>
    <w:pPr>
      <w:spacing w:before="25" w:after="25" w:line="300" w:lineRule="auto"/>
    </w:pPr>
    <w:rPr>
      <w:rFonts w:ascii="Times" w:hAnsi="Times"/>
      <w:spacing w:val="10"/>
      <w:kern w:val="0"/>
      <w:sz w:val="24"/>
      <w:szCs w:val="20"/>
    </w:rPr>
  </w:style>
  <w:style w:type="paragraph" w:customStyle="1" w:styleId="52">
    <w:name w:val="修订1"/>
    <w:semiHidden/>
    <w:qFormat/>
    <w:uiPriority w:val="99"/>
    <w:rPr>
      <w:rFonts w:ascii="Calibri" w:hAnsi="Calibri" w:eastAsia="宋体" w:cs="Times New Roman"/>
      <w:kern w:val="2"/>
      <w:sz w:val="21"/>
      <w:szCs w:val="22"/>
      <w:lang w:val="en-US" w:eastAsia="zh-CN" w:bidi="ar-SA"/>
    </w:rPr>
  </w:style>
  <w:style w:type="paragraph" w:customStyle="1" w:styleId="53">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54">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5">
    <w:name w:val="题注4"/>
    <w:basedOn w:val="1"/>
    <w:next w:val="8"/>
    <w:qFormat/>
    <w:uiPriority w:val="0"/>
    <w:pPr>
      <w:ind w:left="-132" w:leftChars="-64" w:right="-50" w:rightChars="-50" w:hanging="2"/>
      <w:jc w:val="center"/>
    </w:pPr>
    <w:rPr>
      <w:rFonts w:ascii="Times New Roman" w:hAnsi="Times New Roman"/>
      <w:b/>
      <w:color w:val="FF0000"/>
      <w:szCs w:val="20"/>
      <w:lang w:val="en-GB"/>
    </w:rPr>
  </w:style>
  <w:style w:type="paragraph" w:customStyle="1" w:styleId="56">
    <w:name w:val="样式1"/>
    <w:basedOn w:val="4"/>
    <w:qFormat/>
    <w:uiPriority w:val="0"/>
    <w:pPr>
      <w:overflowPunct w:val="0"/>
      <w:autoSpaceDE w:val="0"/>
      <w:autoSpaceDN w:val="0"/>
      <w:adjustRightInd w:val="0"/>
      <w:ind w:left="567" w:hanging="567"/>
      <w:jc w:val="both"/>
      <w:textAlignment w:val="baseline"/>
    </w:pPr>
    <w:rPr>
      <w:rFonts w:ascii="Times New Roman" w:hAnsi="宋体" w:eastAsia="宋体"/>
      <w:b w:val="0"/>
      <w:kern w:val="16"/>
      <w:sz w:val="24"/>
      <w:szCs w:val="24"/>
    </w:rPr>
  </w:style>
  <w:style w:type="paragraph" w:customStyle="1" w:styleId="57">
    <w:name w:val="正文首行缩进1"/>
    <w:basedOn w:val="11"/>
    <w:qFormat/>
    <w:uiPriority w:val="0"/>
    <w:pPr>
      <w:adjustRightInd w:val="0"/>
      <w:snapToGrid w:val="0"/>
      <w:spacing w:after="0" w:line="560" w:lineRule="atLeast"/>
      <w:ind w:firstLine="420" w:firstLineChars="100"/>
    </w:pPr>
    <w:rPr>
      <w:sz w:val="24"/>
      <w:szCs w:val="24"/>
    </w:rPr>
  </w:style>
  <w:style w:type="paragraph" w:customStyle="1" w:styleId="58">
    <w:name w:val="题注5"/>
    <w:basedOn w:val="1"/>
    <w:next w:val="8"/>
    <w:qFormat/>
    <w:uiPriority w:val="0"/>
    <w:pPr>
      <w:jc w:val="center"/>
    </w:pPr>
    <w:rPr>
      <w:rFonts w:ascii="Times New Roman" w:hAnsi="Times New Roman"/>
      <w:b/>
      <w:color w:val="000000"/>
      <w:sz w:val="24"/>
      <w:szCs w:val="21"/>
    </w:rPr>
  </w:style>
  <w:style w:type="paragraph" w:customStyle="1" w:styleId="59">
    <w:name w:val="正文缩进1"/>
    <w:basedOn w:val="1"/>
    <w:qFormat/>
    <w:uiPriority w:val="0"/>
    <w:pPr>
      <w:spacing w:line="360" w:lineRule="auto"/>
      <w:ind w:firstLine="567"/>
    </w:pPr>
    <w:rPr>
      <w:rFonts w:ascii="宋体" w:eastAsia="微软雅黑"/>
      <w:spacing w:val="10"/>
      <w:sz w:val="28"/>
      <w:szCs w:val="24"/>
    </w:rPr>
  </w:style>
  <w:style w:type="character" w:customStyle="1" w:styleId="60">
    <w:name w:val="正文文本 字符1"/>
    <w:semiHidden/>
    <w:qFormat/>
    <w:uiPriority w:val="99"/>
    <w:rPr>
      <w:kern w:val="2"/>
      <w:sz w:val="21"/>
      <w:szCs w:val="22"/>
    </w:rPr>
  </w:style>
  <w:style w:type="character" w:customStyle="1" w:styleId="61">
    <w:name w:val="批注文字 字符1"/>
    <w:semiHidden/>
    <w:qFormat/>
    <w:uiPriority w:val="0"/>
    <w:rPr>
      <w:kern w:val="2"/>
      <w:sz w:val="21"/>
      <w:szCs w:val="22"/>
    </w:rPr>
  </w:style>
  <w:style w:type="character" w:customStyle="1" w:styleId="62">
    <w:name w:val="批注框文本 字符1"/>
    <w:semiHidden/>
    <w:qFormat/>
    <w:uiPriority w:val="99"/>
    <w:rPr>
      <w:kern w:val="2"/>
      <w:sz w:val="18"/>
      <w:szCs w:val="18"/>
    </w:rPr>
  </w:style>
  <w:style w:type="character" w:customStyle="1" w:styleId="63">
    <w:name w:val="批注主题 字符1"/>
    <w:semiHidden/>
    <w:qFormat/>
    <w:uiPriority w:val="99"/>
    <w:rPr>
      <w:b/>
      <w:bCs/>
      <w:kern w:val="2"/>
      <w:sz w:val="21"/>
      <w:szCs w:val="22"/>
    </w:rPr>
  </w:style>
  <w:style w:type="character" w:customStyle="1" w:styleId="64">
    <w:name w:val="正文文本 3 字符1"/>
    <w:semiHidden/>
    <w:qFormat/>
    <w:uiPriority w:val="99"/>
    <w:rPr>
      <w:kern w:val="2"/>
      <w:sz w:val="16"/>
      <w:szCs w:val="16"/>
    </w:rPr>
  </w:style>
  <w:style w:type="character" w:customStyle="1" w:styleId="65">
    <w:name w:val="纯文本 字符2"/>
    <w:semiHidden/>
    <w:qFormat/>
    <w:uiPriority w:val="99"/>
    <w:rPr>
      <w:rFonts w:ascii="等线" w:hAnsi="Courier New" w:eastAsia="等线" w:cs="Courier New"/>
      <w:kern w:val="2"/>
      <w:sz w:val="21"/>
      <w:szCs w:val="22"/>
    </w:rPr>
  </w:style>
  <w:style w:type="character" w:customStyle="1" w:styleId="66">
    <w:name w:val="访问过的超链接1"/>
    <w:unhideWhenUsed/>
    <w:qFormat/>
    <w:uiPriority w:val="99"/>
    <w:rPr>
      <w:color w:val="800080"/>
      <w:u w:val="single"/>
    </w:rPr>
  </w:style>
  <w:style w:type="character" w:customStyle="1" w:styleId="67">
    <w:name w:val="未处理的提及11"/>
    <w:unhideWhenUsed/>
    <w:qFormat/>
    <w:uiPriority w:val="99"/>
    <w:rPr>
      <w:color w:val="605E5C"/>
      <w:shd w:val="clear" w:color="auto" w:fill="E1DFDD"/>
    </w:rPr>
  </w:style>
  <w:style w:type="paragraph" w:customStyle="1" w:styleId="68">
    <w:name w:val="xl70"/>
    <w:basedOn w:val="1"/>
    <w:qFormat/>
    <w:uiPriority w:val="0"/>
    <w:pPr>
      <w:widowControl/>
      <w:spacing w:before="100" w:beforeAutospacing="1" w:after="100" w:afterAutospacing="1"/>
      <w:jc w:val="center"/>
    </w:pPr>
    <w:rPr>
      <w:rFonts w:ascii="宋体" w:hAnsi="宋体" w:cs="宋体"/>
      <w:kern w:val="0"/>
      <w:sz w:val="22"/>
    </w:rPr>
  </w:style>
  <w:style w:type="paragraph" w:customStyle="1" w:styleId="69">
    <w:name w:val="xl67"/>
    <w:basedOn w:val="1"/>
    <w:qFormat/>
    <w:uiPriority w:val="0"/>
    <w:pPr>
      <w:widowControl/>
      <w:spacing w:before="100" w:beforeAutospacing="1" w:after="100" w:afterAutospacing="1"/>
      <w:jc w:val="left"/>
    </w:pPr>
    <w:rPr>
      <w:rFonts w:ascii="宋体" w:hAnsi="宋体" w:cs="宋体"/>
      <w:kern w:val="0"/>
      <w:sz w:val="22"/>
    </w:rPr>
  </w:style>
  <w:style w:type="paragraph" w:customStyle="1" w:styleId="70">
    <w:name w:val="xl72"/>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2"/>
    </w:rPr>
  </w:style>
  <w:style w:type="paragraph" w:customStyle="1" w:styleId="71">
    <w:name w:val="xl68"/>
    <w:basedOn w:val="1"/>
    <w:qFormat/>
    <w:uiPriority w:val="0"/>
    <w:pPr>
      <w:widowControl/>
      <w:spacing w:before="100" w:beforeAutospacing="1" w:after="100" w:afterAutospacing="1"/>
      <w:jc w:val="center"/>
    </w:pPr>
    <w:rPr>
      <w:rFonts w:ascii="宋体" w:hAnsi="宋体" w:cs="宋体"/>
      <w:kern w:val="0"/>
      <w:sz w:val="22"/>
    </w:rPr>
  </w:style>
  <w:style w:type="paragraph" w:customStyle="1" w:styleId="72">
    <w:name w:val="xl71"/>
    <w:basedOn w:val="1"/>
    <w:qFormat/>
    <w:uiPriority w:val="0"/>
    <w:pPr>
      <w:widowControl/>
      <w:spacing w:before="100" w:beforeAutospacing="1" w:after="100" w:afterAutospacing="1"/>
      <w:jc w:val="left"/>
    </w:pPr>
    <w:rPr>
      <w:rFonts w:ascii="宋体" w:hAnsi="宋体" w:cs="宋体"/>
      <w:kern w:val="0"/>
      <w:sz w:val="22"/>
    </w:rPr>
  </w:style>
  <w:style w:type="paragraph" w:customStyle="1" w:styleId="73">
    <w:name w:val="xl69"/>
    <w:basedOn w:val="1"/>
    <w:qFormat/>
    <w:uiPriority w:val="0"/>
    <w:pPr>
      <w:widowControl/>
      <w:spacing w:before="100" w:beforeAutospacing="1" w:after="100" w:afterAutospacing="1"/>
      <w:jc w:val="left"/>
    </w:pPr>
    <w:rPr>
      <w:rFonts w:ascii="宋体" w:hAnsi="宋体" w:cs="宋体"/>
      <w:kern w:val="0"/>
      <w:sz w:val="22"/>
    </w:rPr>
  </w:style>
  <w:style w:type="paragraph" w:customStyle="1" w:styleId="74">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xl74"/>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2"/>
    </w:rPr>
  </w:style>
  <w:style w:type="paragraph" w:customStyle="1" w:styleId="76">
    <w:name w:val="xl73"/>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2"/>
    </w:rPr>
  </w:style>
  <w:style w:type="paragraph" w:customStyle="1" w:styleId="77">
    <w:name w:val="xl66"/>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78">
    <w:name w:val="xl7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right"/>
      <w:textAlignment w:val="center"/>
    </w:pPr>
    <w:rPr>
      <w:rFonts w:ascii="宋体" w:hAnsi="宋体" w:cs="宋体"/>
      <w:kern w:val="0"/>
      <w:sz w:val="22"/>
    </w:rPr>
  </w:style>
  <w:style w:type="table" w:customStyle="1" w:styleId="79">
    <w:name w:val="网格型1"/>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0">
    <w:name w:val="列表段落1"/>
    <w:basedOn w:val="1"/>
    <w:qFormat/>
    <w:uiPriority w:val="99"/>
    <w:pPr>
      <w:ind w:firstLine="420" w:firstLineChars="200"/>
    </w:pPr>
  </w:style>
  <w:style w:type="character" w:customStyle="1" w:styleId="81">
    <w:name w:val="标题 1 字符"/>
    <w:link w:val="3"/>
    <w:qFormat/>
    <w:uiPriority w:val="9"/>
    <w:rPr>
      <w:b/>
      <w:bCs/>
      <w:kern w:val="44"/>
      <w:sz w:val="44"/>
      <w:szCs w:val="44"/>
    </w:rPr>
  </w:style>
  <w:style w:type="paragraph" w:customStyle="1" w:styleId="82">
    <w:name w:val="Char1"/>
    <w:basedOn w:val="1"/>
    <w:qFormat/>
    <w:uiPriority w:val="0"/>
    <w:rPr>
      <w:rFonts w:ascii="Times New Roman" w:hAnsi="Times New Roman"/>
      <w:szCs w:val="24"/>
    </w:rPr>
  </w:style>
  <w:style w:type="paragraph" w:styleId="83">
    <w:name w:val="List Paragraph"/>
    <w:basedOn w:val="1"/>
    <w:qFormat/>
    <w:uiPriority w:val="99"/>
    <w:pPr>
      <w:ind w:firstLine="420" w:firstLineChars="200"/>
    </w:pPr>
  </w:style>
  <w:style w:type="paragraph" w:customStyle="1" w:styleId="84">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85">
    <w:name w:val="修订2"/>
    <w:hidden/>
    <w:semiHidden/>
    <w:qFormat/>
    <w:uiPriority w:val="99"/>
    <w:rPr>
      <w:rFonts w:ascii="Calibri" w:hAnsi="Calibri" w:eastAsia="宋体" w:cs="Times New Roman"/>
      <w:kern w:val="2"/>
      <w:sz w:val="21"/>
      <w:szCs w:val="22"/>
      <w:lang w:val="en-US" w:eastAsia="zh-CN" w:bidi="ar-SA"/>
    </w:rPr>
  </w:style>
  <w:style w:type="table" w:customStyle="1" w:styleId="86">
    <w:name w:val="网格型2"/>
    <w:basedOn w:val="22"/>
    <w:qFormat/>
    <w:uiPriority w:val="0"/>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
    <w:name w:val="网格型3"/>
    <w:basedOn w:val="22"/>
    <w:qFormat/>
    <w:uiPriority w:val="0"/>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
    <w:name w:val="网格型4"/>
    <w:basedOn w:val="22"/>
    <w:qFormat/>
    <w:uiPriority w:val="39"/>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
    <w:name w:val="网格型5"/>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
    <w:name w:val="网格型6"/>
    <w:basedOn w:val="22"/>
    <w:qFormat/>
    <w:uiPriority w:val="39"/>
    <w:pPr>
      <w:widowControl w:val="0"/>
      <w:jc w:val="both"/>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1">
    <w:name w:val="修订3"/>
    <w:hidden/>
    <w:unhideWhenUsed/>
    <w:qFormat/>
    <w:uiPriority w:val="99"/>
    <w:rPr>
      <w:rFonts w:ascii="Calibri" w:hAnsi="Calibri" w:eastAsia="宋体" w:cs="Times New Roman"/>
      <w:kern w:val="2"/>
      <w:sz w:val="21"/>
      <w:szCs w:val="22"/>
      <w:lang w:val="en-US" w:eastAsia="zh-CN" w:bidi="ar-SA"/>
    </w:rPr>
  </w:style>
  <w:style w:type="paragraph" w:customStyle="1" w:styleId="92">
    <w:name w:val="修订4"/>
    <w:hidden/>
    <w:unhideWhenUsed/>
    <w:qFormat/>
    <w:uiPriority w:val="99"/>
    <w:rPr>
      <w:rFonts w:ascii="Calibri" w:hAnsi="Calibri" w:eastAsia="宋体" w:cs="Times New Roman"/>
      <w:kern w:val="2"/>
      <w:sz w:val="21"/>
      <w:szCs w:val="22"/>
      <w:lang w:val="en-US" w:eastAsia="zh-CN" w:bidi="ar-SA"/>
    </w:rPr>
  </w:style>
  <w:style w:type="paragraph" w:customStyle="1" w:styleId="93">
    <w:name w:val="修订5"/>
    <w:hidden/>
    <w:unhideWhenUsed/>
    <w:qFormat/>
    <w:uiPriority w:val="99"/>
    <w:rPr>
      <w:rFonts w:ascii="Calibri" w:hAnsi="Calibri" w:eastAsia="宋体" w:cs="Times New Roman"/>
      <w:kern w:val="2"/>
      <w:sz w:val="21"/>
      <w:szCs w:val="22"/>
      <w:lang w:val="en-US" w:eastAsia="zh-CN" w:bidi="ar-SA"/>
    </w:rPr>
  </w:style>
  <w:style w:type="paragraph" w:customStyle="1" w:styleId="94">
    <w:name w:val="Revision"/>
    <w:hidden/>
    <w:semiHidden/>
    <w:qFormat/>
    <w:uiPriority w:val="99"/>
    <w:rPr>
      <w:rFonts w:ascii="Calibri" w:hAnsi="Calibri" w:eastAsia="宋体" w:cs="Times New Roman"/>
      <w:kern w:val="2"/>
      <w:sz w:val="21"/>
      <w:szCs w:val="22"/>
      <w:lang w:val="en-US" w:eastAsia="zh-CN" w:bidi="ar-SA"/>
    </w:rPr>
  </w:style>
  <w:style w:type="paragraph" w:customStyle="1" w:styleId="95">
    <w:name w:val="null3"/>
    <w:hidden/>
    <w:qFormat/>
    <w:uiPriority w:val="0"/>
    <w:rPr>
      <w:rFonts w:hint="eastAsia" w:asciiTheme="minorHAnsi" w:hAnsiTheme="minorHAnsi" w:eastAsiaTheme="minorEastAsia" w:cstheme="minorBidi"/>
      <w:lang w:val="en-US" w:eastAsia="zh-Hans"/>
    </w:rPr>
  </w:style>
  <w:style w:type="paragraph" w:customStyle="1" w:styleId="96">
    <w:name w:val="样式111"/>
    <w:basedOn w:val="1"/>
    <w:qFormat/>
    <w:uiPriority w:val="0"/>
    <w:pPr>
      <w:spacing w:line="365" w:lineRule="auto"/>
      <w:ind w:right="0" w:firstLine="480" w:firstLineChars="200"/>
      <w:jc w:val="both"/>
    </w:pPr>
    <w:rPr>
      <w:rFonts w:hint="eastAsia"/>
      <w:spacing w:val="-7"/>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B64B47-3A72-45E9-8B4F-18D50AAE1233}">
  <ds:schemaRefs/>
</ds:datastoreItem>
</file>

<file path=docProps/app.xml><?xml version="1.0" encoding="utf-8"?>
<Properties xmlns="http://schemas.openxmlformats.org/officeDocument/2006/extended-properties" xmlns:vt="http://schemas.openxmlformats.org/officeDocument/2006/docPropsVTypes">
  <Template>Normal</Template>
  <Company>广州宾馆</Company>
  <Pages>63</Pages>
  <Words>28312</Words>
  <Characters>29454</Characters>
  <Lines>750</Lines>
  <Paragraphs>211</Paragraphs>
  <TotalTime>0</TotalTime>
  <ScaleCrop>false</ScaleCrop>
  <LinksUpToDate>false</LinksUpToDate>
  <CharactersWithSpaces>31724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2024-04-17T09:29:00Z</dcterms:created>
  <dc:creator>ebidding</dc:creator>
  <cp:lastModifiedBy>咕咚</cp:lastModifiedBy>
  <cp:lastPrinted>2022-05-24T06:49:00Z</cp:lastPrinted>
  <dcterms:modified xsi:type="dcterms:W3CDTF">2025-10-31T04:10:19Z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7082D961003242889FB0BEC91D59A7B0</vt:lpwstr>
  </property>
  <property fmtid="{D5CDD505-2E9C-101B-9397-08002B2CF9AE}" pid="4" name="KSOTemplateDocerSaveRecord">
    <vt:lpwstr>eyJoZGlkIjoiZTk4M2Q4NThmOTdkZWRhYzcxMmJhM2RkM2NmMWM0NjIiLCJ1c2VySWQiOiI1NzgwODgzNzcifQ==</vt:lpwstr>
  </property>
</Properties>
</file>